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ascii="宋体" w:hAnsi="宋体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>编号:</w:t>
      </w:r>
      <w:r>
        <w:rPr>
          <w:rFonts w:ascii="仿宋" w:hAnsi="仿宋" w:eastAsia="仿宋"/>
          <w:b/>
          <w:sz w:val="24"/>
        </w:rPr>
        <w:t>(</w:t>
      </w:r>
      <w:r>
        <w:rPr>
          <w:rFonts w:hint="eastAsia" w:ascii="仿宋" w:hAnsi="仿宋" w:eastAsia="仿宋"/>
          <w:b/>
          <w:sz w:val="24"/>
        </w:rPr>
        <w:t>CQAK-GK-05-06）</w:t>
      </w:r>
    </w:p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</w:t>
      </w:r>
      <w:bookmarkStart w:id="6" w:name="_GoBack"/>
      <w:r>
        <w:rPr>
          <w:rFonts w:hint="eastAsia" w:ascii="仿宋" w:hAnsi="仿宋" w:eastAsia="仿宋"/>
          <w:b/>
          <w:szCs w:val="28"/>
        </w:rPr>
        <w:t>信息公布表</w:t>
      </w:r>
      <w:bookmarkEnd w:id="6"/>
      <w:bookmarkEnd w:id="0"/>
      <w:bookmarkEnd w:id="1"/>
      <w:bookmarkEnd w:id="2"/>
    </w:p>
    <w:tbl>
      <w:tblPr>
        <w:tblStyle w:val="10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850"/>
        <w:gridCol w:w="33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威页11-1HF井试采地面工程安全验收评价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3511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035553/S011053000110193002251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039952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040396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019246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唐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035894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S011053000110192003004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罗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035523/S011053000110192002961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035615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351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181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威页11-1HF井位于内江市市中区凌家镇牛口桥村4组，是一口开发评价井，试采层位龙马溪组。本工程新建威页11-1HF井采气站1座，新建集气工艺流程1套及站场地面配套的结构、给排水、供配电、仪控、通信、道路、防腐等工程内容。威页11-1HF井原料气经新建工艺流程节流、加热、分离、计量后外输供用户。本工程站场建设规模为4.0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color w:val="000000"/>
                <w:sz w:val="22"/>
              </w:rPr>
              <w:t>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/d。</w:t>
            </w:r>
            <w:r>
              <w:rPr>
                <w:rFonts w:hAnsi="Times New Roman" w:cs="Arial"/>
                <w:color w:val="000000"/>
                <w:sz w:val="22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765675" cy="3481070"/>
                  <wp:effectExtent l="0" t="0" r="1587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5675" cy="348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1.2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1.2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pPr>
        <w:spacing w:line="520" w:lineRule="exact"/>
        <w:ind w:firstLine="0" w:firstLineChars="0"/>
        <w:rPr>
          <w:rFonts w:ascii="宋体" w:hAnsi="宋体" w:eastAsia="仿宋"/>
          <w:sz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仿宋" w:hAnsi="仿宋" w:eastAsia="仿宋"/>
          <w:b/>
          <w:sz w:val="24"/>
        </w:rPr>
        <w:t>编号</w:t>
      </w:r>
      <w:r>
        <w:rPr>
          <w:rFonts w:ascii="仿宋" w:hAnsi="仿宋" w:eastAsia="仿宋"/>
          <w:b/>
          <w:sz w:val="24"/>
        </w:rPr>
        <w:sym w:font="Wingdings" w:char="F04C"/>
      </w:r>
      <w:r>
        <w:rPr>
          <w:rFonts w:hint="eastAsia" w:ascii="仿宋" w:hAnsi="仿宋" w:eastAsia="仿宋"/>
          <w:b/>
          <w:sz w:val="24"/>
        </w:rPr>
        <w:t>CQAK-GK-05-07)</w:t>
      </w:r>
    </w:p>
    <w:p>
      <w:pPr>
        <w:spacing w:line="240" w:lineRule="auto"/>
        <w:ind w:firstLine="0" w:firstLineChars="0"/>
        <w:jc w:val="center"/>
        <w:outlineLvl w:val="0"/>
        <w:rPr>
          <w:rFonts w:ascii="仿宋" w:hAnsi="仿宋" w:eastAsia="仿宋"/>
          <w:b/>
          <w:szCs w:val="28"/>
        </w:rPr>
      </w:pPr>
      <w:bookmarkStart w:id="3" w:name="_Toc21487"/>
      <w:bookmarkStart w:id="4" w:name="_Toc32033"/>
      <w:bookmarkStart w:id="5" w:name="_Toc16752"/>
      <w:r>
        <w:rPr>
          <w:rFonts w:hint="eastAsia" w:ascii="仿宋" w:hAnsi="仿宋" w:eastAsia="仿宋"/>
          <w:b/>
          <w:szCs w:val="28"/>
        </w:rPr>
        <w:t>安全评价机构安全评价工作业绩表</w:t>
      </w:r>
      <w:bookmarkEnd w:id="3"/>
      <w:bookmarkEnd w:id="4"/>
      <w:bookmarkEnd w:id="5"/>
    </w:p>
    <w:p>
      <w:pPr>
        <w:spacing w:line="240" w:lineRule="auto"/>
        <w:ind w:firstLine="0" w:firstLineChars="0"/>
        <w:jc w:val="left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项目编号：</w:t>
      </w:r>
      <w:r>
        <w:rPr>
          <w:rFonts w:ascii="仿宋" w:hAnsi="仿宋" w:eastAsia="仿宋"/>
          <w:sz w:val="21"/>
          <w:szCs w:val="21"/>
        </w:rPr>
        <w:t>CQAK2024-01-03-0361</w:t>
      </w:r>
      <w:r>
        <w:rPr>
          <w:rFonts w:hint="eastAsia" w:ascii="仿宋" w:hAnsi="仿宋" w:eastAsia="仿宋"/>
          <w:sz w:val="21"/>
          <w:szCs w:val="21"/>
        </w:rPr>
        <w:t xml:space="preserve">                                     项目完成时间：202</w:t>
      </w:r>
      <w:r>
        <w:rPr>
          <w:rFonts w:ascii="仿宋" w:hAnsi="仿宋" w:eastAsia="仿宋"/>
          <w:sz w:val="21"/>
          <w:szCs w:val="21"/>
        </w:rPr>
        <w:t>1.2.25</w:t>
      </w:r>
    </w:p>
    <w:tbl>
      <w:tblPr>
        <w:tblStyle w:val="10"/>
        <w:tblW w:w="9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236"/>
        <w:gridCol w:w="13"/>
        <w:gridCol w:w="1544"/>
        <w:gridCol w:w="157"/>
        <w:gridCol w:w="1151"/>
        <w:gridCol w:w="271"/>
        <w:gridCol w:w="957"/>
        <w:gridCol w:w="1192"/>
        <w:gridCol w:w="460"/>
        <w:gridCol w:w="285"/>
        <w:gridCol w:w="1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56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机构名称</w:t>
            </w:r>
          </w:p>
        </w:tc>
        <w:tc>
          <w:tcPr>
            <w:tcW w:w="4093" w:type="dxa"/>
            <w:gridSpan w:val="6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937" w:type="dxa"/>
            <w:gridSpan w:val="3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合同编号</w:t>
            </w:r>
          </w:p>
        </w:tc>
        <w:tc>
          <w:tcPr>
            <w:tcW w:w="1363" w:type="dxa"/>
          </w:tcPr>
          <w:p>
            <w:pPr>
              <w:spacing w:line="400" w:lineRule="exact"/>
              <w:ind w:firstLine="48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9962" w:type="dxa"/>
            <w:gridSpan w:val="12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评价项目概况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58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项目名称</w:t>
            </w:r>
          </w:p>
        </w:tc>
        <w:tc>
          <w:tcPr>
            <w:tcW w:w="3123" w:type="dxa"/>
            <w:gridSpan w:val="4"/>
            <w:tcBorders>
              <w:top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威页11-1HF井试采地面工程安全验收评价</w:t>
            </w:r>
          </w:p>
        </w:tc>
        <w:tc>
          <w:tcPr>
            <w:tcW w:w="2149" w:type="dxa"/>
            <w:gridSpan w:val="2"/>
          </w:tcPr>
          <w:p>
            <w:pPr>
              <w:adjustRightInd w:val="0"/>
              <w:snapToGrid w:val="0"/>
              <w:spacing w:line="560" w:lineRule="exact"/>
              <w:ind w:firstLine="482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所在地区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pacing w:val="-4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四川内江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评价类别</w:t>
            </w:r>
          </w:p>
        </w:tc>
        <w:tc>
          <w:tcPr>
            <w:tcW w:w="7380" w:type="dxa"/>
            <w:gridSpan w:val="9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预评价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■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验收评价□  现状评价□ 其他安全评价□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582" w:type="dxa"/>
            <w:gridSpan w:val="3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项目审批机关</w:t>
            </w:r>
          </w:p>
        </w:tc>
        <w:tc>
          <w:tcPr>
            <w:tcW w:w="3123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09" w:type="dxa"/>
            <w:gridSpan w:val="3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职工人数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582" w:type="dxa"/>
            <w:gridSpan w:val="3"/>
            <w:vMerge w:val="continue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123" w:type="dxa"/>
            <w:gridSpan w:val="4"/>
            <w:vMerge w:val="continue"/>
          </w:tcPr>
          <w:p>
            <w:pPr>
              <w:spacing w:line="400" w:lineRule="exact"/>
              <w:ind w:firstLine="48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09" w:type="dxa"/>
            <w:gridSpan w:val="3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销售额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是否属跨省建设项目</w:t>
            </w:r>
          </w:p>
        </w:tc>
        <w:tc>
          <w:tcPr>
            <w:tcW w:w="3123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   否□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资产总额</w:t>
            </w:r>
          </w:p>
        </w:tc>
        <w:tc>
          <w:tcPr>
            <w:tcW w:w="1648" w:type="dxa"/>
            <w:gridSpan w:val="2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82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是否生产剧毒化学品</w:t>
            </w:r>
          </w:p>
        </w:tc>
        <w:tc>
          <w:tcPr>
            <w:tcW w:w="3123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   否□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是否生产剧毒化学品</w:t>
            </w:r>
          </w:p>
        </w:tc>
        <w:tc>
          <w:tcPr>
            <w:tcW w:w="1648" w:type="dxa"/>
            <w:gridSpan w:val="2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4126" w:type="dxa"/>
            <w:gridSpan w:val="4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所属业务类别</w:t>
            </w:r>
          </w:p>
        </w:tc>
        <w:tc>
          <w:tcPr>
            <w:tcW w:w="5836" w:type="dxa"/>
            <w:gridSpan w:val="8"/>
            <w:vAlign w:val="center"/>
          </w:tcPr>
          <w:p>
            <w:pPr>
              <w:spacing w:line="400" w:lineRule="exact"/>
              <w:ind w:right="420"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参加评价人员情况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333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姓 名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职业证书编号</w:t>
            </w: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资质等级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spacing w:line="400" w:lineRule="exact"/>
              <w:ind w:firstLine="48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承担的主要工作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三级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储运专业风险辨识、分析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采气专业风险辨识和对策措施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1100000000301652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三级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电气专业风险分析及对策措施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S011053000110192003004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机械专业负责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报告汇总，现场勘察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安全专业负责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一级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技术负责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S011053000110201000802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一级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过控负责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3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95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1151" w:type="dxa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二级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报告内审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283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评价人员是否到现场勘查</w:t>
            </w:r>
          </w:p>
        </w:tc>
        <w:tc>
          <w:tcPr>
            <w:tcW w:w="1151" w:type="dxa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是■否□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是否能够如实反映安全状况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是■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283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是否在规定的时间完成评价报告</w:t>
            </w:r>
          </w:p>
        </w:tc>
        <w:tc>
          <w:tcPr>
            <w:tcW w:w="115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是■否□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评价人员是否遵守执业准则和职业道德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是■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83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指出项目的安全建议措施多少项</w:t>
            </w:r>
          </w:p>
        </w:tc>
        <w:tc>
          <w:tcPr>
            <w:tcW w:w="1151" w:type="dxa"/>
          </w:tcPr>
          <w:p>
            <w:pPr>
              <w:spacing w:line="400" w:lineRule="exact"/>
              <w:ind w:firstLine="525" w:firstLineChars="25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3165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提出安全对策措施多少项</w:t>
            </w:r>
          </w:p>
        </w:tc>
        <w:tc>
          <w:tcPr>
            <w:tcW w:w="1363" w:type="dxa"/>
            <w:vAlign w:val="center"/>
          </w:tcPr>
          <w:p>
            <w:pPr>
              <w:spacing w:line="400" w:lineRule="exact"/>
              <w:ind w:firstLine="48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</w:trPr>
        <w:tc>
          <w:tcPr>
            <w:tcW w:w="2569" w:type="dxa"/>
            <w:gridSpan w:val="2"/>
            <w:vAlign w:val="center"/>
          </w:tcPr>
          <w:p>
            <w:pPr>
              <w:spacing w:line="400" w:lineRule="exact"/>
              <w:ind w:firstLine="210" w:firstLineChars="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被评价单位意见</w:t>
            </w:r>
          </w:p>
          <w:p>
            <w:pPr>
              <w:spacing w:line="400" w:lineRule="exact"/>
              <w:ind w:firstLine="48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和建议</w:t>
            </w:r>
          </w:p>
        </w:tc>
        <w:tc>
          <w:tcPr>
            <w:tcW w:w="7393" w:type="dxa"/>
            <w:gridSpan w:val="10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400" w:lineRule="exact"/>
              <w:ind w:firstLine="4620" w:firstLineChars="220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480" w:firstLineChars="0"/>
              <w:jc w:val="righ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年    月    日</w:t>
            </w:r>
          </w:p>
        </w:tc>
      </w:tr>
    </w:tbl>
    <w:p>
      <w:pPr>
        <w:spacing w:line="240" w:lineRule="auto"/>
        <w:ind w:firstLine="0" w:firstLineChars="0"/>
        <w:jc w:val="left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注：1.此表由安全评价机构对所有完成的安全评价项目均应填写。2.要填写工整，内容完整，及时归档。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77" w:bottom="1440" w:left="1077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E2E80"/>
    <w:multiLevelType w:val="multilevel"/>
    <w:tmpl w:val="4F9E2E80"/>
    <w:lvl w:ilvl="0" w:tentative="0">
      <w:start w:val="1"/>
      <w:numFmt w:val="decimal"/>
      <w:pStyle w:val="21"/>
      <w:lvlText w:val="%1)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5D4924"/>
    <w:multiLevelType w:val="multilevel"/>
    <w:tmpl w:val="505D4924"/>
    <w:lvl w:ilvl="0" w:tentative="0">
      <w:start w:val="1"/>
      <w:numFmt w:val="decimal"/>
      <w:pStyle w:val="23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8E2"/>
    <w:rsid w:val="000824B1"/>
    <w:rsid w:val="001137CE"/>
    <w:rsid w:val="001534D9"/>
    <w:rsid w:val="00187A23"/>
    <w:rsid w:val="001A2B17"/>
    <w:rsid w:val="001A639D"/>
    <w:rsid w:val="001C45C2"/>
    <w:rsid w:val="002E4A0F"/>
    <w:rsid w:val="00304146"/>
    <w:rsid w:val="003C3D2D"/>
    <w:rsid w:val="004074C9"/>
    <w:rsid w:val="00467D5A"/>
    <w:rsid w:val="004769B3"/>
    <w:rsid w:val="004D47A6"/>
    <w:rsid w:val="005158E2"/>
    <w:rsid w:val="00593E5E"/>
    <w:rsid w:val="008B629E"/>
    <w:rsid w:val="008E75C2"/>
    <w:rsid w:val="009121AE"/>
    <w:rsid w:val="00A80E95"/>
    <w:rsid w:val="00A94FA2"/>
    <w:rsid w:val="00B407A5"/>
    <w:rsid w:val="00B41F4A"/>
    <w:rsid w:val="00CC77DD"/>
    <w:rsid w:val="00D772CA"/>
    <w:rsid w:val="00D81CFA"/>
    <w:rsid w:val="00E57673"/>
    <w:rsid w:val="00E6224C"/>
    <w:rsid w:val="00ED3876"/>
    <w:rsid w:val="00F54418"/>
    <w:rsid w:val="00F84E03"/>
    <w:rsid w:val="00FF4477"/>
    <w:rsid w:val="461B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50" w:beforeLines="50" w:after="50" w:afterLines="50"/>
      <w:ind w:firstLine="0" w:firstLineChars="0"/>
      <w:jc w:val="center"/>
      <w:outlineLvl w:val="1"/>
    </w:pPr>
    <w:rPr>
      <w:rFonts w:eastAsia="楷体"/>
      <w:b/>
      <w:bCs/>
      <w:sz w:val="30"/>
      <w:szCs w:val="32"/>
    </w:rPr>
  </w:style>
  <w:style w:type="paragraph" w:styleId="4">
    <w:name w:val="heading 3"/>
    <w:basedOn w:val="1"/>
    <w:next w:val="1"/>
    <w:link w:val="18"/>
    <w:qFormat/>
    <w:uiPriority w:val="0"/>
    <w:pPr>
      <w:adjustRightInd w:val="0"/>
      <w:snapToGrid w:val="0"/>
      <w:ind w:firstLine="0" w:firstLineChars="0"/>
      <w:outlineLvl w:val="2"/>
    </w:pPr>
    <w:rPr>
      <w:rFonts w:eastAsia="仿宋"/>
      <w:b/>
      <w:szCs w:val="20"/>
    </w:rPr>
  </w:style>
  <w:style w:type="paragraph" w:styleId="5">
    <w:name w:val="heading 4"/>
    <w:basedOn w:val="1"/>
    <w:next w:val="1"/>
    <w:link w:val="19"/>
    <w:qFormat/>
    <w:uiPriority w:val="0"/>
    <w:pPr>
      <w:keepNext/>
      <w:keepLines/>
      <w:ind w:firstLine="0" w:firstLineChars="0"/>
      <w:outlineLvl w:val="3"/>
    </w:pPr>
    <w:rPr>
      <w:bCs/>
      <w:szCs w:val="28"/>
    </w:rPr>
  </w:style>
  <w:style w:type="paragraph" w:styleId="6">
    <w:name w:val="heading 5"/>
    <w:basedOn w:val="1"/>
    <w:next w:val="1"/>
    <w:link w:val="17"/>
    <w:qFormat/>
    <w:uiPriority w:val="0"/>
    <w:pPr>
      <w:keepNext/>
      <w:keepLines/>
      <w:adjustRightInd w:val="0"/>
      <w:snapToGrid w:val="0"/>
      <w:outlineLvl w:val="4"/>
    </w:pPr>
    <w:rPr>
      <w:rFonts w:ascii="Times New Roman" w:hAnsi="Times New Roman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27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2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12">
    <w:name w:val="表格内容1"/>
    <w:basedOn w:val="1"/>
    <w:link w:val="13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  <w:style w:type="character" w:customStyle="1" w:styleId="13">
    <w:name w:val="表格内容1 Char"/>
    <w:link w:val="12"/>
    <w:qFormat/>
    <w:uiPriority w:val="0"/>
    <w:rPr>
      <w:rFonts w:ascii="Arial" w:hAnsi="Arial" w:eastAsia="宋体" w:cs="Times New Roman"/>
      <w:szCs w:val="24"/>
    </w:rPr>
  </w:style>
  <w:style w:type="character" w:customStyle="1" w:styleId="14">
    <w:name w:val="标题 2 Char"/>
    <w:link w:val="3"/>
    <w:qFormat/>
    <w:uiPriority w:val="0"/>
    <w:rPr>
      <w:rFonts w:ascii="Arial" w:hAnsi="Arial" w:eastAsia="楷体" w:cs="Times New Roman"/>
      <w:b/>
      <w:bCs/>
      <w:sz w:val="30"/>
      <w:szCs w:val="32"/>
    </w:rPr>
  </w:style>
  <w:style w:type="paragraph" w:customStyle="1" w:styleId="15">
    <w:name w:val="表头"/>
    <w:basedOn w:val="1"/>
    <w:link w:val="16"/>
    <w:qFormat/>
    <w:uiPriority w:val="0"/>
    <w:pPr>
      <w:spacing w:line="240" w:lineRule="auto"/>
      <w:ind w:firstLine="0" w:firstLineChars="0"/>
      <w:jc w:val="center"/>
    </w:pPr>
    <w:rPr>
      <w:rFonts w:eastAsia="黑体"/>
      <w:bCs/>
      <w:sz w:val="24"/>
      <w:szCs w:val="21"/>
    </w:rPr>
  </w:style>
  <w:style w:type="character" w:customStyle="1" w:styleId="16">
    <w:name w:val="表头 Char Char"/>
    <w:link w:val="15"/>
    <w:qFormat/>
    <w:uiPriority w:val="0"/>
    <w:rPr>
      <w:rFonts w:ascii="Arial" w:hAnsi="Arial" w:eastAsia="黑体" w:cs="Times New Roman"/>
      <w:bCs/>
      <w:sz w:val="24"/>
      <w:szCs w:val="21"/>
    </w:rPr>
  </w:style>
  <w:style w:type="character" w:customStyle="1" w:styleId="17">
    <w:name w:val="标题 5 Char"/>
    <w:basedOn w:val="11"/>
    <w:link w:val="6"/>
    <w:qFormat/>
    <w:uiPriority w:val="0"/>
    <w:rPr>
      <w:rFonts w:ascii="Times New Roman" w:hAnsi="Times New Roman" w:eastAsia="宋体" w:cs="Times New Roman"/>
      <w:sz w:val="28"/>
      <w:szCs w:val="28"/>
    </w:rPr>
  </w:style>
  <w:style w:type="character" w:customStyle="1" w:styleId="18">
    <w:name w:val="标题 3 Char"/>
    <w:link w:val="4"/>
    <w:qFormat/>
    <w:uiPriority w:val="0"/>
    <w:rPr>
      <w:rFonts w:ascii="Arial" w:hAnsi="Arial" w:eastAsia="仿宋" w:cs="Times New Roman"/>
      <w:b/>
      <w:sz w:val="28"/>
      <w:szCs w:val="20"/>
    </w:rPr>
  </w:style>
  <w:style w:type="character" w:customStyle="1" w:styleId="19">
    <w:name w:val="标题 4 Char"/>
    <w:link w:val="5"/>
    <w:qFormat/>
    <w:uiPriority w:val="0"/>
    <w:rPr>
      <w:rFonts w:ascii="Arial" w:hAnsi="Arial" w:eastAsia="宋体" w:cs="Times New Roman"/>
      <w:bCs/>
      <w:sz w:val="28"/>
      <w:szCs w:val="28"/>
    </w:rPr>
  </w:style>
  <w:style w:type="character" w:customStyle="1" w:styleId="20">
    <w:name w:val="标题 1 Char"/>
    <w:link w:val="2"/>
    <w:qFormat/>
    <w:uiPriority w:val="0"/>
    <w:rPr>
      <w:rFonts w:ascii="Arial" w:hAnsi="Arial" w:eastAsia="黑体" w:cs="Times New Roman"/>
      <w:bCs/>
      <w:kern w:val="44"/>
      <w:sz w:val="32"/>
      <w:szCs w:val="44"/>
    </w:rPr>
  </w:style>
  <w:style w:type="paragraph" w:customStyle="1" w:styleId="21">
    <w:name w:val="附件标题1"/>
    <w:basedOn w:val="1"/>
    <w:link w:val="22"/>
    <w:qFormat/>
    <w:uiPriority w:val="0"/>
    <w:pPr>
      <w:numPr>
        <w:ilvl w:val="0"/>
        <w:numId w:val="1"/>
      </w:numPr>
      <w:ind w:firstLine="0" w:firstLineChars="0"/>
      <w:outlineLvl w:val="0"/>
    </w:pPr>
    <w:rPr>
      <w:rFonts w:cs="Arial"/>
      <w:szCs w:val="28"/>
    </w:rPr>
  </w:style>
  <w:style w:type="character" w:customStyle="1" w:styleId="22">
    <w:name w:val="附件标题1 Char"/>
    <w:basedOn w:val="11"/>
    <w:link w:val="21"/>
    <w:qFormat/>
    <w:uiPriority w:val="0"/>
    <w:rPr>
      <w:rFonts w:ascii="Arial" w:hAnsi="Arial" w:eastAsia="宋体" w:cs="Arial"/>
      <w:sz w:val="28"/>
      <w:szCs w:val="28"/>
    </w:rPr>
  </w:style>
  <w:style w:type="paragraph" w:customStyle="1" w:styleId="23">
    <w:name w:val="附件标题2"/>
    <w:basedOn w:val="1"/>
    <w:link w:val="24"/>
    <w:qFormat/>
    <w:uiPriority w:val="0"/>
    <w:pPr>
      <w:numPr>
        <w:ilvl w:val="0"/>
        <w:numId w:val="2"/>
      </w:numPr>
      <w:ind w:firstLine="0" w:firstLineChars="0"/>
      <w:outlineLvl w:val="1"/>
    </w:pPr>
    <w:rPr>
      <w:rFonts w:cs="Arial"/>
      <w:szCs w:val="28"/>
    </w:rPr>
  </w:style>
  <w:style w:type="character" w:customStyle="1" w:styleId="24">
    <w:name w:val="附件标题2 Char"/>
    <w:basedOn w:val="11"/>
    <w:link w:val="23"/>
    <w:uiPriority w:val="0"/>
    <w:rPr>
      <w:rFonts w:ascii="Arial" w:hAnsi="Arial" w:eastAsia="宋体" w:cs="Arial"/>
      <w:sz w:val="28"/>
      <w:szCs w:val="28"/>
    </w:rPr>
  </w:style>
  <w:style w:type="character" w:customStyle="1" w:styleId="25">
    <w:name w:val="页眉 Char"/>
    <w:basedOn w:val="11"/>
    <w:link w:val="9"/>
    <w:uiPriority w:val="99"/>
    <w:rPr>
      <w:rFonts w:ascii="Arial" w:hAnsi="Arial" w:eastAsia="宋体" w:cs="Times New Roman"/>
      <w:sz w:val="18"/>
      <w:szCs w:val="18"/>
    </w:rPr>
  </w:style>
  <w:style w:type="character" w:customStyle="1" w:styleId="26">
    <w:name w:val="页脚 Char"/>
    <w:basedOn w:val="11"/>
    <w:link w:val="8"/>
    <w:uiPriority w:val="99"/>
    <w:rPr>
      <w:rFonts w:ascii="Arial" w:hAnsi="Arial" w:eastAsia="宋体" w:cs="Times New Roman"/>
      <w:sz w:val="18"/>
      <w:szCs w:val="18"/>
    </w:rPr>
  </w:style>
  <w:style w:type="character" w:customStyle="1" w:styleId="27">
    <w:name w:val="批注框文本 Char"/>
    <w:basedOn w:val="11"/>
    <w:link w:val="7"/>
    <w:semiHidden/>
    <w:qFormat/>
    <w:uiPriority w:val="99"/>
    <w:rPr>
      <w:rFonts w:ascii="Arial" w:hAnsi="Arial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288</Words>
  <Characters>1643</Characters>
  <Lines>13</Lines>
  <Paragraphs>3</Paragraphs>
  <TotalTime>1</TotalTime>
  <ScaleCrop>false</ScaleCrop>
  <LinksUpToDate>false</LinksUpToDate>
  <CharactersWithSpaces>1928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2021-04-16T03:06:00Z</dcterms:created>
  <dc:creator>林</dc:creator>
  <cp:lastModifiedBy>雷楠</cp:lastModifiedBy>
  <dcterms:modified xsi:type="dcterms:W3CDTF">2024-06-21T01:24:10Z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