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719"/>
        <w:gridCol w:w="420"/>
        <w:gridCol w:w="7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机构名称</w:t>
            </w:r>
          </w:p>
        </w:tc>
        <w:tc>
          <w:tcPr>
            <w:tcW w:w="3936" w:type="dxa"/>
            <w:gridSpan w:val="7"/>
            <w:vAlign w:val="center"/>
          </w:tcPr>
          <w:p>
            <w:pPr>
              <w:spacing w:line="500" w:lineRule="exact"/>
              <w:jc w:val="center"/>
              <w:rPr>
                <w:rFonts w:ascii="仿宋" w:hAnsi="仿宋" w:eastAsia="仿宋" w:cs="仿宋"/>
                <w:szCs w:val="21"/>
              </w:rPr>
            </w:pPr>
            <w:r>
              <w:rPr>
                <w:rFonts w:hint="eastAsia" w:ascii="仿宋" w:hAnsi="仿宋" w:eastAsia="仿宋" w:cs="仿宋"/>
                <w:kern w:val="0"/>
                <w:szCs w:val="21"/>
              </w:rPr>
              <w:t>重庆市安全生产科学研究有限公司</w:t>
            </w:r>
          </w:p>
        </w:tc>
        <w:tc>
          <w:tcPr>
            <w:tcW w:w="1598"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资质证号</w:t>
            </w:r>
          </w:p>
        </w:tc>
        <w:tc>
          <w:tcPr>
            <w:tcW w:w="3038" w:type="dxa"/>
            <w:gridSpan w:val="5"/>
            <w:vAlign w:val="center"/>
          </w:tcPr>
          <w:p>
            <w:pPr>
              <w:spacing w:line="500" w:lineRule="exact"/>
              <w:jc w:val="center"/>
              <w:rPr>
                <w:rFonts w:ascii="仿宋" w:hAnsi="仿宋" w:eastAsia="仿宋" w:cs="仿宋"/>
                <w:szCs w:val="21"/>
              </w:rPr>
            </w:pPr>
            <w:r>
              <w:rPr>
                <w:rFonts w:ascii="Arial" w:hAnsi="Arial" w:eastAsia="仿宋" w:cs="Aria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委托单位</w:t>
            </w:r>
          </w:p>
        </w:tc>
        <w:tc>
          <w:tcPr>
            <w:tcW w:w="8572" w:type="dxa"/>
            <w:gridSpan w:val="14"/>
            <w:vAlign w:val="center"/>
          </w:tcPr>
          <w:p>
            <w:pPr>
              <w:spacing w:line="500" w:lineRule="exact"/>
              <w:jc w:val="center"/>
              <w:rPr>
                <w:rFonts w:ascii="仿宋" w:hAnsi="仿宋" w:eastAsia="仿宋" w:cs="仿宋"/>
                <w:szCs w:val="21"/>
              </w:rPr>
            </w:pPr>
            <w:r>
              <w:rPr>
                <w:rFonts w:hint="eastAsia" w:ascii="仿宋" w:hAnsi="仿宋" w:eastAsia="仿宋" w:cs="仿宋"/>
                <w:szCs w:val="21"/>
              </w:rPr>
              <w:t>中国石化销售股份有限公司贵州遵义石油分公司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项目名称</w:t>
            </w:r>
          </w:p>
        </w:tc>
        <w:tc>
          <w:tcPr>
            <w:tcW w:w="8572" w:type="dxa"/>
            <w:gridSpan w:val="14"/>
            <w:vAlign w:val="center"/>
          </w:tcPr>
          <w:p>
            <w:pPr>
              <w:spacing w:line="500" w:lineRule="exact"/>
              <w:jc w:val="center"/>
              <w:rPr>
                <w:rFonts w:ascii="仿宋" w:hAnsi="仿宋" w:eastAsia="仿宋" w:cs="仿宋"/>
                <w:bCs/>
                <w:szCs w:val="21"/>
              </w:rPr>
            </w:pPr>
            <w:r>
              <w:rPr>
                <w:rFonts w:hint="eastAsia" w:ascii="仿宋" w:hAnsi="仿宋" w:eastAsia="仿宋" w:cs="仿宋"/>
                <w:bCs/>
                <w:szCs w:val="21"/>
              </w:rPr>
              <w:t>中国石化销售股份有限公司贵州遵义播州区石油分公司鸭溪电力加油站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项目类别</w:t>
            </w:r>
          </w:p>
        </w:tc>
        <w:tc>
          <w:tcPr>
            <w:tcW w:w="8572" w:type="dxa"/>
            <w:gridSpan w:val="14"/>
            <w:vAlign w:val="center"/>
          </w:tcPr>
          <w:p>
            <w:pPr>
              <w:spacing w:line="500" w:lineRule="exact"/>
              <w:jc w:val="center"/>
              <w:rPr>
                <w:rFonts w:ascii="仿宋" w:hAnsi="仿宋" w:eastAsia="仿宋" w:cs="仿宋"/>
                <w:szCs w:val="21"/>
              </w:rPr>
            </w:pPr>
            <w:r>
              <w:rPr>
                <w:rFonts w:hint="eastAsia" w:ascii="仿宋" w:hAnsi="仿宋" w:eastAsia="仿宋" w:cs="仿宋"/>
                <w:szCs w:val="21"/>
              </w:rPr>
              <w:t xml:space="preserve">□预评价   □现状评价    </w:t>
            </w:r>
            <w:r>
              <w:rPr>
                <w:rFonts w:hint="eastAsia" w:ascii="仿宋" w:hAnsi="仿宋" w:eastAsia="仿宋" w:cs="仿宋"/>
                <w:szCs w:val="21"/>
              </w:rPr>
              <w:sym w:font="Wingdings 2" w:char="0052"/>
            </w:r>
            <w:r>
              <w:rPr>
                <w:rFonts w:hint="eastAsia" w:ascii="仿宋" w:hAnsi="仿宋" w:eastAsia="仿宋" w:cs="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s="仿宋"/>
                <w:szCs w:val="21"/>
              </w:rPr>
            </w:pPr>
            <w:r>
              <w:rPr>
                <w:rFonts w:hint="eastAsia" w:ascii="仿宋" w:hAnsi="仿宋" w:eastAsia="仿宋" w:cs="仿宋"/>
                <w:b/>
                <w:szCs w:val="21"/>
              </w:rPr>
              <w:t>所属业务类别</w:t>
            </w:r>
          </w:p>
        </w:tc>
        <w:tc>
          <w:tcPr>
            <w:tcW w:w="7895" w:type="dxa"/>
            <w:gridSpan w:val="13"/>
          </w:tcPr>
          <w:p>
            <w:pPr>
              <w:spacing w:line="400" w:lineRule="exact"/>
              <w:ind w:firstLine="2310" w:firstLineChars="1100"/>
              <w:rPr>
                <w:rFonts w:ascii="仿宋" w:hAnsi="仿宋" w:eastAsia="仿宋" w:cs="仿宋"/>
                <w:szCs w:val="21"/>
              </w:rPr>
            </w:pPr>
            <w:r>
              <w:rPr>
                <w:rFonts w:hint="eastAsia" w:ascii="仿宋" w:hAnsi="仿宋" w:eastAsia="仿宋" w:cs="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安全评价项目管理</w:t>
            </w:r>
          </w:p>
        </w:tc>
        <w:tc>
          <w:tcPr>
            <w:tcW w:w="2987" w:type="dxa"/>
            <w:gridSpan w:val="6"/>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项目组组长</w:t>
            </w:r>
          </w:p>
        </w:tc>
        <w:tc>
          <w:tcPr>
            <w:tcW w:w="2710"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技术负责人</w:t>
            </w:r>
          </w:p>
        </w:tc>
        <w:tc>
          <w:tcPr>
            <w:tcW w:w="2875"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cs="仿宋"/>
                <w:b/>
                <w:szCs w:val="21"/>
              </w:rPr>
            </w:pPr>
          </w:p>
        </w:tc>
        <w:tc>
          <w:tcPr>
            <w:tcW w:w="2987" w:type="dxa"/>
            <w:gridSpan w:val="6"/>
            <w:vAlign w:val="center"/>
          </w:tcPr>
          <w:p>
            <w:pPr>
              <w:spacing w:line="360" w:lineRule="exact"/>
              <w:jc w:val="center"/>
              <w:rPr>
                <w:rFonts w:ascii="仿宋" w:hAnsi="仿宋" w:eastAsia="仿宋" w:cs="仿宋"/>
                <w:szCs w:val="21"/>
              </w:rPr>
            </w:pPr>
            <w:r>
              <w:rPr>
                <w:rFonts w:hint="eastAsia" w:ascii="仿宋" w:hAnsi="仿宋" w:eastAsia="仿宋" w:cs="仿宋"/>
                <w:szCs w:val="21"/>
              </w:rPr>
              <w:t>李 伟</w:t>
            </w:r>
          </w:p>
        </w:tc>
        <w:tc>
          <w:tcPr>
            <w:tcW w:w="2710"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 xml:space="preserve">刘国勇 </w:t>
            </w:r>
          </w:p>
        </w:tc>
        <w:tc>
          <w:tcPr>
            <w:tcW w:w="2875" w:type="dxa"/>
            <w:gridSpan w:val="4"/>
            <w:vAlign w:val="center"/>
          </w:tcPr>
          <w:p>
            <w:pPr>
              <w:spacing w:line="360" w:lineRule="exact"/>
              <w:jc w:val="center"/>
              <w:rPr>
                <w:rFonts w:ascii="仿宋" w:hAnsi="仿宋" w:eastAsia="仿宋" w:cs="仿宋"/>
                <w:szCs w:val="21"/>
              </w:rPr>
            </w:pPr>
            <w:r>
              <w:rPr>
                <w:rFonts w:hint="eastAsia" w:ascii="仿宋" w:hAnsi="仿宋" w:eastAsia="仿宋" w:cs="仿宋"/>
                <w:kern w:val="0"/>
                <w:szCs w:val="21"/>
              </w:rPr>
              <w:t>冯</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编制过程</w:t>
            </w:r>
          </w:p>
        </w:tc>
        <w:tc>
          <w:tcPr>
            <w:tcW w:w="2174"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报告编制人</w:t>
            </w:r>
          </w:p>
        </w:tc>
        <w:tc>
          <w:tcPr>
            <w:tcW w:w="2073"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报告提交日期</w:t>
            </w:r>
          </w:p>
        </w:tc>
        <w:tc>
          <w:tcPr>
            <w:tcW w:w="2169" w:type="dxa"/>
            <w:gridSpan w:val="3"/>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报告审核人</w:t>
            </w:r>
          </w:p>
        </w:tc>
        <w:tc>
          <w:tcPr>
            <w:tcW w:w="2156" w:type="dxa"/>
            <w:gridSpan w:val="3"/>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cs="仿宋"/>
                <w:b/>
                <w:szCs w:val="21"/>
              </w:rPr>
            </w:pPr>
          </w:p>
        </w:tc>
        <w:tc>
          <w:tcPr>
            <w:tcW w:w="2174"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王永辉</w:t>
            </w:r>
          </w:p>
        </w:tc>
        <w:tc>
          <w:tcPr>
            <w:tcW w:w="2073"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2020-8</w:t>
            </w:r>
          </w:p>
        </w:tc>
        <w:tc>
          <w:tcPr>
            <w:tcW w:w="2169" w:type="dxa"/>
            <w:gridSpan w:val="3"/>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c>
          <w:tcPr>
            <w:tcW w:w="2156" w:type="dxa"/>
            <w:gridSpan w:val="3"/>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姓  名</w:t>
            </w:r>
          </w:p>
        </w:tc>
        <w:tc>
          <w:tcPr>
            <w:tcW w:w="1797" w:type="dxa"/>
            <w:gridSpan w:val="3"/>
            <w:vAlign w:val="center"/>
          </w:tcPr>
          <w:p>
            <w:pPr>
              <w:spacing w:line="300" w:lineRule="exact"/>
              <w:jc w:val="center"/>
              <w:rPr>
                <w:rFonts w:ascii="仿宋" w:hAnsi="仿宋" w:eastAsia="仿宋" w:cs="仿宋"/>
                <w:b/>
                <w:szCs w:val="21"/>
              </w:rPr>
            </w:pPr>
            <w:r>
              <w:rPr>
                <w:rFonts w:hint="eastAsia" w:ascii="仿宋" w:hAnsi="仿宋" w:eastAsia="仿宋" w:cs="仿宋"/>
                <w:b/>
                <w:szCs w:val="21"/>
              </w:rPr>
              <w:t>认定专业</w:t>
            </w:r>
          </w:p>
        </w:tc>
        <w:tc>
          <w:tcPr>
            <w:tcW w:w="2450"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安全评价师从业识别卡/证书编号</w:t>
            </w:r>
          </w:p>
        </w:tc>
        <w:tc>
          <w:tcPr>
            <w:tcW w:w="2662"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注册安全工程师</w:t>
            </w:r>
          </w:p>
          <w:p>
            <w:pPr>
              <w:spacing w:line="300" w:lineRule="exact"/>
              <w:jc w:val="center"/>
              <w:rPr>
                <w:rFonts w:ascii="仿宋" w:hAnsi="仿宋" w:eastAsia="仿宋" w:cs="仿宋"/>
                <w:b/>
                <w:szCs w:val="21"/>
              </w:rPr>
            </w:pPr>
            <w:r>
              <w:rPr>
                <w:rFonts w:hint="eastAsia" w:ascii="仿宋" w:hAnsi="仿宋" w:eastAsia="仿宋" w:cs="仿宋"/>
                <w:b/>
                <w:szCs w:val="21"/>
              </w:rPr>
              <w:t>注册证号</w:t>
            </w:r>
          </w:p>
        </w:tc>
        <w:tc>
          <w:tcPr>
            <w:tcW w:w="1663" w:type="dxa"/>
            <w:vAlign w:val="center"/>
          </w:tcPr>
          <w:p>
            <w:pPr>
              <w:spacing w:line="300" w:lineRule="exact"/>
              <w:jc w:val="center"/>
              <w:rPr>
                <w:rFonts w:ascii="仿宋" w:hAnsi="仿宋" w:eastAsia="仿宋" w:cs="仿宋"/>
                <w:b/>
                <w:szCs w:val="21"/>
              </w:rPr>
            </w:pPr>
            <w:r>
              <w:rPr>
                <w:rFonts w:hint="eastAsia" w:ascii="仿宋" w:hAnsi="仿宋" w:eastAsia="仿宋" w:cs="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szCs w:val="21"/>
              </w:rPr>
              <w:t>李 伟</w:t>
            </w:r>
          </w:p>
        </w:tc>
        <w:tc>
          <w:tcPr>
            <w:tcW w:w="1797" w:type="dxa"/>
            <w:gridSpan w:val="3"/>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szCs w:val="21"/>
              </w:rPr>
              <w:t>机械</w:t>
            </w:r>
          </w:p>
        </w:tc>
        <w:tc>
          <w:tcPr>
            <w:tcW w:w="2450"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_GB2312" w:hAnsi="仿宋_GB2312" w:eastAsia="仿宋_GB2312" w:cs="仿宋_GB2312"/>
                <w:kern w:val="0"/>
                <w:szCs w:val="21"/>
              </w:rPr>
              <w:t>020783</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王永辉</w:t>
            </w:r>
          </w:p>
        </w:tc>
        <w:tc>
          <w:tcPr>
            <w:tcW w:w="1797" w:type="dxa"/>
            <w:gridSpan w:val="3"/>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电气自动化</w:t>
            </w:r>
          </w:p>
        </w:tc>
        <w:tc>
          <w:tcPr>
            <w:tcW w:w="2450" w:type="dxa"/>
            <w:gridSpan w:val="5"/>
            <w:vAlign w:val="center"/>
          </w:tcPr>
          <w:p>
            <w:pPr>
              <w:spacing w:line="360" w:lineRule="exact"/>
              <w:jc w:val="center"/>
              <w:rPr>
                <w:rFonts w:ascii="仿宋" w:hAnsi="仿宋" w:eastAsia="仿宋" w:cs="仿宋"/>
                <w:szCs w:val="21"/>
              </w:rPr>
            </w:pPr>
            <w:r>
              <w:rPr>
                <w:rFonts w:hint="eastAsia" w:ascii="仿宋" w:hAnsi="仿宋" w:eastAsia="仿宋" w:cs="仿宋"/>
                <w:szCs w:val="21"/>
              </w:rPr>
              <w:t>034150</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欧中锴</w:t>
            </w:r>
          </w:p>
        </w:tc>
        <w:tc>
          <w:tcPr>
            <w:tcW w:w="1797" w:type="dxa"/>
            <w:gridSpan w:val="3"/>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安全</w:t>
            </w:r>
          </w:p>
        </w:tc>
        <w:tc>
          <w:tcPr>
            <w:tcW w:w="2450" w:type="dxa"/>
            <w:gridSpan w:val="5"/>
            <w:vAlign w:val="center"/>
          </w:tcPr>
          <w:p>
            <w:pPr>
              <w:spacing w:line="360" w:lineRule="exact"/>
              <w:jc w:val="center"/>
              <w:rPr>
                <w:rFonts w:ascii="仿宋" w:hAnsi="仿宋" w:eastAsia="仿宋" w:cs="仿宋"/>
                <w:szCs w:val="21"/>
              </w:rPr>
            </w:pPr>
            <w:r>
              <w:rPr>
                <w:rFonts w:hint="eastAsia" w:ascii="仿宋" w:hAnsi="仿宋" w:eastAsia="仿宋" w:cs="仿宋"/>
                <w:kern w:val="0"/>
                <w:szCs w:val="21"/>
              </w:rPr>
              <w:t>031212</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Cs w:val="21"/>
                <w:lang w:eastAsia="zh-CN"/>
              </w:rPr>
            </w:pPr>
            <w:r>
              <w:rPr>
                <w:rFonts w:hint="eastAsia" w:ascii="仿宋" w:hAnsi="仿宋" w:eastAsia="仿宋" w:cs="仿宋"/>
                <w:kern w:val="0"/>
                <w:szCs w:val="21"/>
                <w:lang w:eastAsia="zh-CN"/>
              </w:rPr>
              <w:t>刘文娟</w:t>
            </w:r>
          </w:p>
        </w:tc>
        <w:tc>
          <w:tcPr>
            <w:tcW w:w="1797" w:type="dxa"/>
            <w:gridSpan w:val="3"/>
            <w:vAlign w:val="center"/>
          </w:tcPr>
          <w:p>
            <w:pPr>
              <w:widowControl/>
              <w:spacing w:line="240" w:lineRule="atLeast"/>
              <w:jc w:val="center"/>
              <w:rPr>
                <w:rFonts w:hint="eastAsia" w:ascii="仿宋" w:hAnsi="仿宋" w:eastAsia="仿宋" w:cs="仿宋"/>
                <w:kern w:val="0"/>
                <w:szCs w:val="21"/>
                <w:lang w:eastAsia="zh-CN"/>
              </w:rPr>
            </w:pPr>
            <w:r>
              <w:rPr>
                <w:rFonts w:hint="eastAsia" w:ascii="仿宋" w:hAnsi="仿宋" w:eastAsia="仿宋" w:cs="仿宋"/>
                <w:szCs w:val="21"/>
                <w:lang w:eastAsia="zh-CN"/>
              </w:rPr>
              <w:t>自动化</w:t>
            </w:r>
          </w:p>
        </w:tc>
        <w:tc>
          <w:tcPr>
            <w:tcW w:w="2450" w:type="dxa"/>
            <w:gridSpan w:val="5"/>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Cs w:val="21"/>
                <w:lang w:val="en-US" w:eastAsia="zh-CN"/>
              </w:rPr>
              <w:t>019235</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kern w:val="0"/>
                <w:szCs w:val="21"/>
              </w:rPr>
              <w:t>熊仁君</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Cs w:val="21"/>
              </w:rPr>
              <w:t>化工工艺</w:t>
            </w:r>
          </w:p>
        </w:tc>
        <w:tc>
          <w:tcPr>
            <w:tcW w:w="2450" w:type="dxa"/>
            <w:gridSpan w:val="5"/>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Cs w:val="21"/>
              </w:rPr>
              <w:t>015225</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szCs w:val="21"/>
              </w:rPr>
              <w:t>55070030074</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color w:val="000000"/>
                <w:kern w:val="0"/>
                <w:szCs w:val="21"/>
              </w:rPr>
              <w:t>蔡治勇</w:t>
            </w:r>
          </w:p>
        </w:tc>
        <w:tc>
          <w:tcPr>
            <w:tcW w:w="1797" w:type="dxa"/>
            <w:gridSpan w:val="3"/>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color w:val="000000"/>
                <w:kern w:val="0"/>
                <w:szCs w:val="21"/>
              </w:rPr>
              <w:t>火炸药、安全</w:t>
            </w:r>
          </w:p>
        </w:tc>
        <w:tc>
          <w:tcPr>
            <w:tcW w:w="2450" w:type="dxa"/>
            <w:gridSpan w:val="5"/>
            <w:vAlign w:val="center"/>
          </w:tcPr>
          <w:p>
            <w:pPr>
              <w:spacing w:line="360" w:lineRule="exact"/>
              <w:jc w:val="center"/>
              <w:rPr>
                <w:rFonts w:ascii="仿宋" w:hAnsi="仿宋" w:eastAsia="仿宋" w:cs="仿宋"/>
                <w:szCs w:val="21"/>
              </w:rPr>
            </w:pPr>
            <w:r>
              <w:rPr>
                <w:rFonts w:hint="eastAsia" w:ascii="仿宋" w:hAnsi="仿宋" w:eastAsia="仿宋" w:cs="仿宋"/>
                <w:szCs w:val="21"/>
              </w:rPr>
              <w:t>003832</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szCs w:val="21"/>
              </w:rPr>
              <w:t>55080052964</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冯</w:t>
            </w:r>
            <w:r>
              <w:rPr>
                <w:rFonts w:hint="eastAsia" w:ascii="仿宋" w:hAnsi="仿宋" w:eastAsia="仿宋" w:cs="仿宋"/>
                <w:kern w:val="0"/>
                <w:szCs w:val="21"/>
                <w:lang w:val="en-US" w:eastAsia="zh-CN"/>
              </w:rPr>
              <w:t xml:space="preserve"> </w:t>
            </w:r>
            <w:r>
              <w:rPr>
                <w:rFonts w:hint="eastAsia" w:ascii="仿宋" w:hAnsi="仿宋" w:eastAsia="仿宋" w:cs="仿宋"/>
                <w:kern w:val="0"/>
                <w:szCs w:val="21"/>
              </w:rPr>
              <w:t>皓</w:t>
            </w:r>
          </w:p>
        </w:tc>
        <w:tc>
          <w:tcPr>
            <w:tcW w:w="1797" w:type="dxa"/>
            <w:gridSpan w:val="3"/>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宋体"/>
                <w:color w:val="000000"/>
                <w:kern w:val="0"/>
                <w:szCs w:val="21"/>
              </w:rPr>
              <w:t>火炸药、安全</w:t>
            </w:r>
          </w:p>
        </w:tc>
        <w:tc>
          <w:tcPr>
            <w:tcW w:w="2450" w:type="dxa"/>
            <w:gridSpan w:val="5"/>
            <w:vAlign w:val="center"/>
          </w:tcPr>
          <w:p>
            <w:pPr>
              <w:spacing w:line="360" w:lineRule="exact"/>
              <w:jc w:val="center"/>
              <w:rPr>
                <w:rFonts w:ascii="仿宋" w:hAnsi="仿宋" w:eastAsia="仿宋" w:cs="仿宋"/>
                <w:szCs w:val="21"/>
              </w:rPr>
            </w:pPr>
            <w:r>
              <w:rPr>
                <w:rFonts w:ascii="仿宋" w:hAnsi="仿宋" w:eastAsia="仿宋" w:cs="Arial"/>
                <w:kern w:val="0"/>
                <w:szCs w:val="21"/>
              </w:rPr>
              <w:t>019237</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_GB2312"/>
                <w:szCs w:val="21"/>
              </w:rPr>
              <w:t>55130140330</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仿宋"/>
                <w:kern w:val="0"/>
                <w:szCs w:val="21"/>
              </w:rPr>
            </w:pPr>
            <w:r>
              <w:rPr>
                <w:rFonts w:hint="eastAsia" w:ascii="仿宋" w:hAnsi="仿宋" w:eastAsia="仿宋" w:cs="仿宋"/>
                <w:kern w:val="0"/>
                <w:szCs w:val="21"/>
              </w:rPr>
              <w:t>刘国勇</w:t>
            </w:r>
          </w:p>
        </w:tc>
        <w:tc>
          <w:tcPr>
            <w:tcW w:w="1797" w:type="dxa"/>
            <w:gridSpan w:val="3"/>
            <w:vAlign w:val="center"/>
          </w:tcPr>
          <w:p>
            <w:pPr>
              <w:widowControl/>
              <w:adjustRightInd w:val="0"/>
              <w:snapToGrid w:val="0"/>
              <w:jc w:val="center"/>
              <w:rPr>
                <w:rFonts w:ascii="仿宋" w:hAnsi="仿宋" w:eastAsia="仿宋" w:cs="仿宋"/>
                <w:kern w:val="0"/>
                <w:szCs w:val="21"/>
              </w:rPr>
            </w:pPr>
            <w:r>
              <w:rPr>
                <w:rFonts w:hint="eastAsia" w:ascii="仿宋" w:hAnsi="仿宋" w:eastAsia="仿宋" w:cs="仿宋"/>
                <w:szCs w:val="21"/>
              </w:rPr>
              <w:t>化工工艺</w:t>
            </w:r>
          </w:p>
        </w:tc>
        <w:tc>
          <w:tcPr>
            <w:tcW w:w="2450" w:type="dxa"/>
            <w:gridSpan w:val="5"/>
            <w:vAlign w:val="center"/>
          </w:tcPr>
          <w:p>
            <w:pPr>
              <w:spacing w:line="220" w:lineRule="atLeast"/>
              <w:jc w:val="center"/>
              <w:rPr>
                <w:rFonts w:ascii="仿宋" w:hAnsi="仿宋" w:eastAsia="仿宋" w:cs="仿宋"/>
                <w:szCs w:val="21"/>
              </w:rPr>
            </w:pPr>
            <w:r>
              <w:rPr>
                <w:rFonts w:hint="eastAsia" w:ascii="仿宋" w:hAnsi="仿宋" w:eastAsia="仿宋" w:cs="仿宋"/>
                <w:szCs w:val="21"/>
              </w:rPr>
              <w:t>019234</w:t>
            </w:r>
          </w:p>
        </w:tc>
        <w:tc>
          <w:tcPr>
            <w:tcW w:w="2662" w:type="dxa"/>
            <w:gridSpan w:val="5"/>
            <w:vAlign w:val="center"/>
          </w:tcPr>
          <w:p>
            <w:pPr>
              <w:widowControl/>
              <w:adjustRightInd w:val="0"/>
              <w:snapToGrid w:val="0"/>
              <w:jc w:val="center"/>
              <w:rPr>
                <w:rFonts w:ascii="仿宋" w:hAnsi="仿宋" w:eastAsia="仿宋" w:cs="仿宋"/>
                <w:kern w:val="0"/>
                <w:szCs w:val="21"/>
              </w:rPr>
            </w:pPr>
            <w:r>
              <w:rPr>
                <w:rFonts w:hint="eastAsia" w:ascii="仿宋" w:hAnsi="仿宋" w:eastAsia="仿宋" w:cs="仿宋"/>
                <w:color w:val="000000"/>
                <w:kern w:val="0"/>
                <w:szCs w:val="21"/>
              </w:rPr>
              <w:t>55060013805</w:t>
            </w:r>
          </w:p>
        </w:tc>
        <w:tc>
          <w:tcPr>
            <w:tcW w:w="1663" w:type="dxa"/>
            <w:vAlign w:val="center"/>
          </w:tcPr>
          <w:p>
            <w:pPr>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s="仿宋"/>
                <w:szCs w:val="21"/>
              </w:rPr>
            </w:pPr>
            <w:r>
              <w:rPr>
                <w:rFonts w:hint="eastAsia" w:ascii="仿宋" w:hAnsi="仿宋" w:eastAsia="仿宋" w:cs="仿宋"/>
                <w:b/>
                <w:szCs w:val="21"/>
              </w:rPr>
              <w:t>项目简介</w:t>
            </w:r>
          </w:p>
        </w:tc>
        <w:tc>
          <w:tcPr>
            <w:tcW w:w="8572" w:type="dxa"/>
            <w:gridSpan w:val="14"/>
            <w:vAlign w:val="center"/>
          </w:tcPr>
          <w:p>
            <w:pPr>
              <w:adjustRightInd w:val="0"/>
              <w:snapToGrid w:val="0"/>
              <w:rPr>
                <w:rFonts w:ascii="仿宋" w:hAnsi="仿宋" w:eastAsia="仿宋" w:cs="仿宋"/>
                <w:b/>
                <w:bCs/>
                <w:szCs w:val="21"/>
              </w:rPr>
            </w:pPr>
            <w:r>
              <w:rPr>
                <w:rFonts w:hint="eastAsia" w:ascii="仿宋" w:hAnsi="仿宋" w:eastAsia="仿宋" w:cs="仿宋"/>
                <w:b/>
                <w:bCs/>
                <w:szCs w:val="21"/>
              </w:rPr>
              <w:t>项目简介：</w:t>
            </w:r>
          </w:p>
          <w:p>
            <w:pPr>
              <w:spacing w:line="360" w:lineRule="auto"/>
              <w:ind w:firstLine="420" w:firstLineChars="200"/>
              <w:rPr>
                <w:rFonts w:ascii="仿宋" w:hAnsi="仿宋" w:eastAsia="仿宋" w:cs="仿宋"/>
                <w:szCs w:val="21"/>
              </w:rPr>
            </w:pPr>
            <w:r>
              <w:rPr>
                <w:rFonts w:hint="eastAsia" w:ascii="仿宋" w:hAnsi="仿宋" w:eastAsia="仿宋" w:cs="仿宋"/>
                <w:szCs w:val="21"/>
              </w:rPr>
              <w:t>中国石化销售股份有限公司贵州遵义播州区石油分公司鸭溪电力加油站（以下简称：鸭溪电力加油站），位于贵州省遵义市播州区鸭溪镇仁合村哨上组，</w:t>
            </w:r>
            <w:r>
              <w:rPr>
                <w:rFonts w:hint="eastAsia" w:ascii="仿宋" w:hAnsi="仿宋" w:eastAsia="仿宋" w:cs="仿宋"/>
                <w:color w:val="000000"/>
                <w:szCs w:val="21"/>
              </w:rPr>
              <w:t>占地面积2863.30m㎡</w:t>
            </w:r>
            <w:r>
              <w:rPr>
                <w:rFonts w:hint="eastAsia" w:ascii="仿宋" w:hAnsi="仿宋" w:eastAsia="仿宋" w:cs="仿宋"/>
                <w:szCs w:val="21"/>
              </w:rPr>
              <w:t>。</w:t>
            </w:r>
            <w:r>
              <w:rPr>
                <w:rFonts w:hint="eastAsia" w:ascii="仿宋" w:hAnsi="仿宋" w:eastAsia="仿宋" w:cs="仿宋"/>
                <w:color w:val="000000"/>
                <w:szCs w:val="21"/>
              </w:rPr>
              <w:t>负责人：洪松</w:t>
            </w:r>
            <w:r>
              <w:rPr>
                <w:rFonts w:hint="eastAsia" w:ascii="仿宋" w:hAnsi="仿宋" w:eastAsia="仿宋" w:cs="仿宋"/>
                <w:szCs w:val="21"/>
              </w:rPr>
              <w:t>，主要经营汽、柴油的销售。</w:t>
            </w:r>
          </w:p>
          <w:p>
            <w:pPr>
              <w:adjustRightInd w:val="0"/>
              <w:snapToGrid w:val="0"/>
              <w:spacing w:line="360" w:lineRule="auto"/>
              <w:ind w:firstLine="420" w:firstLineChars="200"/>
              <w:rPr>
                <w:rFonts w:ascii="仿宋" w:hAnsi="仿宋" w:eastAsia="仿宋" w:cs="仿宋"/>
                <w:snapToGrid w:val="0"/>
                <w:kern w:val="0"/>
                <w:szCs w:val="21"/>
              </w:rPr>
            </w:pPr>
            <w:r>
              <w:rPr>
                <w:rFonts w:hint="eastAsia" w:ascii="仿宋" w:hAnsi="仿宋" w:eastAsia="仿宋" w:cs="仿宋"/>
                <w:szCs w:val="21"/>
              </w:rPr>
              <w:t>鸭溪电力加油站为原址改建项目，该加油站原站级为二级，该加油站原储油罐及输油管线均为单层制品，为了响应《关于印发〈贵州省油气污染治理工作方案〉的通知》(黔环通〔2013〕100号)、《贵州省加快推进加油站地下油罐防渗改造工作方案的通知》(黔环通〔2013〕307号)、《关于印发</w:t>
            </w:r>
            <w:r>
              <w:rPr>
                <w:rFonts w:hint="eastAsia" w:ascii="仿宋" w:hAnsi="仿宋" w:eastAsia="仿宋" w:cs="仿宋"/>
                <w:szCs w:val="21"/>
                <w:lang w:val="zh-CN"/>
              </w:rPr>
              <w:t>〈遵义</w:t>
            </w:r>
            <w:r>
              <w:rPr>
                <w:rFonts w:hint="eastAsia" w:ascii="仿宋" w:hAnsi="仿宋" w:eastAsia="仿宋" w:cs="仿宋"/>
                <w:szCs w:val="21"/>
              </w:rPr>
              <w:t>市加快推进加油站地下油罐防渗改造工作</w:t>
            </w:r>
            <w:r>
              <w:rPr>
                <w:rFonts w:hint="eastAsia" w:ascii="仿宋" w:hAnsi="仿宋" w:eastAsia="仿宋" w:cs="仿宋"/>
                <w:szCs w:val="21"/>
                <w:lang w:val="zh-CN"/>
              </w:rPr>
              <w:t>方案〉</w:t>
            </w:r>
            <w:r>
              <w:rPr>
                <w:rFonts w:hint="eastAsia" w:ascii="仿宋" w:hAnsi="仿宋" w:eastAsia="仿宋" w:cs="仿宋"/>
                <w:szCs w:val="21"/>
              </w:rPr>
              <w:t>的通知》（遵水污防办〔2018〕2号）要求。中国石化销售股份有限公司贵州遵义播州区石油分公司于2020年3月</w:t>
            </w:r>
            <w:r>
              <w:rPr>
                <w:rFonts w:hint="eastAsia" w:ascii="仿宋" w:hAnsi="仿宋" w:eastAsia="仿宋" w:cs="仿宋"/>
                <w:snapToGrid w:val="0"/>
                <w:kern w:val="0"/>
                <w:szCs w:val="21"/>
              </w:rPr>
              <w:t>向播州区商务局申请双层罐防渗改造并按照“三同时”的要求进行设计、施工和验收</w:t>
            </w:r>
            <w:r>
              <w:rPr>
                <w:rFonts w:hint="eastAsia" w:ascii="仿宋" w:hAnsi="仿宋" w:eastAsia="仿宋" w:cs="仿宋"/>
                <w:szCs w:val="21"/>
              </w:rPr>
              <w:t>，于2020年8月3日通过遵义市应急管理局审查并获得《危险化学品建设项目安全审查意见书》（遵安危建审〔2020〕68号）。</w:t>
            </w:r>
          </w:p>
          <w:p>
            <w:pPr>
              <w:adjustRightInd w:val="0"/>
              <w:snapToGrid w:val="0"/>
              <w:rPr>
                <w:rFonts w:ascii="仿宋" w:hAnsi="仿宋" w:eastAsia="仿宋" w:cs="仿宋"/>
                <w:b/>
                <w:bCs/>
                <w:szCs w:val="21"/>
              </w:rPr>
            </w:pPr>
            <w:r>
              <w:rPr>
                <w:rFonts w:hint="eastAsia" w:ascii="仿宋" w:hAnsi="仿宋" w:eastAsia="仿宋" w:cs="仿宋"/>
                <w:szCs w:val="21"/>
              </w:rPr>
              <w:t>加油站于2020年8月11日施工改造完成，改造后该站设有双枪双油品潜油泵加油机5台，四枪三油品潜油泵加油机1台，</w:t>
            </w:r>
            <w:r>
              <w:rPr>
                <w:rFonts w:hint="eastAsia" w:ascii="仿宋" w:hAnsi="仿宋" w:eastAsia="仿宋" w:cs="仿宋"/>
                <w:color w:val="000000"/>
                <w:szCs w:val="21"/>
              </w:rPr>
              <w:t>设置SF双层油罐4个，其中：30m</w:t>
            </w:r>
            <w:r>
              <w:rPr>
                <w:rFonts w:hint="eastAsia" w:ascii="仿宋" w:hAnsi="仿宋" w:eastAsia="仿宋" w:cs="仿宋"/>
                <w:color w:val="000000"/>
                <w:szCs w:val="21"/>
                <w:vertAlign w:val="superscript"/>
              </w:rPr>
              <w:t>3</w:t>
            </w:r>
            <w:r>
              <w:rPr>
                <w:rFonts w:hint="eastAsia" w:ascii="仿宋" w:hAnsi="仿宋" w:eastAsia="仿宋" w:cs="仿宋"/>
                <w:color w:val="000000"/>
                <w:szCs w:val="21"/>
              </w:rPr>
              <w:t>92#汽油储罐1个，30m</w:t>
            </w:r>
            <w:r>
              <w:rPr>
                <w:rFonts w:hint="eastAsia" w:ascii="仿宋" w:hAnsi="仿宋" w:eastAsia="仿宋" w:cs="仿宋"/>
                <w:color w:val="000000"/>
                <w:szCs w:val="21"/>
                <w:vertAlign w:val="superscript"/>
              </w:rPr>
              <w:t>3</w:t>
            </w:r>
            <w:r>
              <w:rPr>
                <w:rFonts w:hint="eastAsia" w:ascii="仿宋" w:hAnsi="仿宋" w:eastAsia="仿宋" w:cs="仿宋"/>
                <w:color w:val="000000"/>
                <w:szCs w:val="21"/>
              </w:rPr>
              <w:t>95#汽油储罐1个，50m</w:t>
            </w:r>
            <w:r>
              <w:rPr>
                <w:rFonts w:hint="eastAsia" w:ascii="宋体" w:hAnsi="宋体" w:cs="宋体"/>
                <w:color w:val="000000"/>
                <w:szCs w:val="21"/>
              </w:rPr>
              <w:t>³</w:t>
            </w:r>
            <w:r>
              <w:rPr>
                <w:rFonts w:hint="eastAsia" w:ascii="仿宋" w:hAnsi="仿宋" w:eastAsia="仿宋" w:cs="仿宋"/>
                <w:color w:val="000000"/>
                <w:szCs w:val="21"/>
              </w:rPr>
              <w:t>0#柴油储罐2个，加油站油罐储存总容积为160m</w:t>
            </w:r>
            <w:r>
              <w:rPr>
                <w:rFonts w:hint="eastAsia" w:ascii="宋体" w:hAnsi="宋体" w:cs="宋体"/>
                <w:color w:val="000000"/>
                <w:szCs w:val="21"/>
              </w:rPr>
              <w:t>³</w:t>
            </w:r>
            <w:r>
              <w:rPr>
                <w:rFonts w:hint="eastAsia" w:ascii="仿宋" w:hAnsi="仿宋" w:eastAsia="仿宋" w:cs="仿宋"/>
                <w:color w:val="000000"/>
                <w:szCs w:val="21"/>
              </w:rPr>
              <w:t>。柴油容积折半计算后，加油站总容积为110m</w:t>
            </w:r>
            <w:r>
              <w:rPr>
                <w:rFonts w:hint="eastAsia" w:ascii="仿宋" w:hAnsi="仿宋" w:eastAsia="仿宋" w:cs="仿宋"/>
                <w:color w:val="000000"/>
                <w:szCs w:val="21"/>
                <w:vertAlign w:val="superscript"/>
              </w:rPr>
              <w:t>3</w:t>
            </w:r>
            <w:r>
              <w:rPr>
                <w:rFonts w:hint="eastAsia" w:ascii="仿宋" w:hAnsi="仿宋" w:eastAsia="仿宋" w:cs="仿宋"/>
                <w:color w:val="000000"/>
                <w:szCs w:val="21"/>
              </w:rPr>
              <w:t>。根据《汽车加油加气站设计与施工规范（2014年版）》（GB50156-2012）对加油站的等级划分，建设项目属于二级加油站。</w:t>
            </w:r>
            <w:r>
              <w:rPr>
                <w:rFonts w:hint="eastAsia" w:ascii="仿宋" w:hAnsi="仿宋" w:eastAsia="仿宋" w:cs="仿宋"/>
                <w:szCs w:val="21"/>
              </w:rPr>
              <w:t>。</w:t>
            </w:r>
          </w:p>
          <w:p>
            <w:pPr>
              <w:adjustRightInd w:val="0"/>
              <w:snapToGrid w:val="0"/>
              <w:rPr>
                <w:rFonts w:ascii="仿宋" w:hAnsi="仿宋" w:eastAsia="仿宋" w:cs="仿宋"/>
                <w:szCs w:val="21"/>
              </w:rPr>
            </w:pPr>
            <w:r>
              <w:rPr>
                <w:rFonts w:hint="eastAsia" w:ascii="仿宋" w:hAnsi="仿宋" w:eastAsia="仿宋" w:cs="仿宋"/>
                <w:b/>
                <w:bCs/>
                <w:szCs w:val="21"/>
              </w:rPr>
              <w:t>现场勘察照片</w:t>
            </w:r>
            <w:r>
              <w:rPr>
                <w:rFonts w:hint="eastAsia" w:ascii="仿宋" w:hAnsi="仿宋" w:eastAsia="仿宋" w:cs="仿宋"/>
                <w:szCs w:val="21"/>
              </w:rPr>
              <w:t>：</w:t>
            </w:r>
          </w:p>
          <w:p>
            <w:pPr>
              <w:adjustRightInd w:val="0"/>
              <w:snapToGrid w:val="0"/>
              <w:jc w:val="center"/>
              <w:rPr>
                <w:rFonts w:ascii="仿宋" w:hAnsi="仿宋" w:eastAsia="仿宋" w:cs="仿宋"/>
                <w:szCs w:val="21"/>
              </w:rPr>
            </w:pPr>
            <w:r>
              <w:rPr>
                <w:rFonts w:ascii="仿宋" w:hAnsi="仿宋" w:eastAsia="仿宋"/>
                <w:szCs w:val="21"/>
              </w:rPr>
              <w:drawing>
                <wp:inline distT="0" distB="0" distL="114300" distR="114300">
                  <wp:extent cx="5298440" cy="3451860"/>
                  <wp:effectExtent l="0" t="0" r="16510"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cstate="print"/>
                          <a:stretch>
                            <a:fillRect/>
                          </a:stretch>
                        </pic:blipFill>
                        <pic:spPr>
                          <a:xfrm>
                            <a:off x="0" y="0"/>
                            <a:ext cx="5298440" cy="3451860"/>
                          </a:xfrm>
                          <a:prstGeom prst="rect">
                            <a:avLst/>
                          </a:prstGeom>
                          <a:noFill/>
                          <a:ln>
                            <a:noFill/>
                          </a:ln>
                        </pic:spPr>
                      </pic:pic>
                    </a:graphicData>
                  </a:graphic>
                </wp:inline>
              </w:drawing>
            </w:r>
            <w:r>
              <w:rPr>
                <w:rFonts w:ascii="仿宋" w:hAnsi="仿宋" w:eastAsia="仿宋"/>
                <w:szCs w:val="21"/>
              </w:rPr>
              <w:drawing>
                <wp:inline distT="0" distB="0" distL="114300" distR="114300">
                  <wp:extent cx="5305425" cy="3328670"/>
                  <wp:effectExtent l="0" t="0" r="952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stretch>
                            <a:fillRect/>
                          </a:stretch>
                        </pic:blipFill>
                        <pic:spPr>
                          <a:xfrm>
                            <a:off x="0" y="0"/>
                            <a:ext cx="5305425" cy="332867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s="仿宋"/>
                <w:szCs w:val="21"/>
              </w:rPr>
            </w:pPr>
            <w:r>
              <w:rPr>
                <w:rFonts w:hint="eastAsia" w:ascii="仿宋" w:hAnsi="仿宋" w:eastAsia="仿宋" w:cs="仿宋"/>
                <w:szCs w:val="21"/>
              </w:rPr>
              <w:t>现场开展工作情况</w:t>
            </w:r>
          </w:p>
        </w:tc>
        <w:tc>
          <w:tcPr>
            <w:tcW w:w="1286" w:type="dxa"/>
            <w:gridSpan w:val="2"/>
            <w:vAlign w:val="center"/>
          </w:tcPr>
          <w:p>
            <w:pPr>
              <w:spacing w:line="300" w:lineRule="exact"/>
              <w:jc w:val="center"/>
              <w:rPr>
                <w:rFonts w:ascii="仿宋" w:hAnsi="仿宋" w:eastAsia="仿宋" w:cs="仿宋"/>
                <w:szCs w:val="21"/>
              </w:rPr>
            </w:pPr>
            <w:r>
              <w:rPr>
                <w:rFonts w:hint="eastAsia" w:ascii="仿宋" w:hAnsi="仿宋" w:eastAsia="仿宋" w:cs="仿宋"/>
                <w:szCs w:val="21"/>
              </w:rPr>
              <w:t>勘验人员</w:t>
            </w:r>
          </w:p>
        </w:tc>
        <w:tc>
          <w:tcPr>
            <w:tcW w:w="1360"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勘验时间</w:t>
            </w:r>
          </w:p>
        </w:tc>
        <w:tc>
          <w:tcPr>
            <w:tcW w:w="4190" w:type="dxa"/>
            <w:gridSpan w:val="7"/>
            <w:vAlign w:val="center"/>
          </w:tcPr>
          <w:p>
            <w:pPr>
              <w:spacing w:line="300" w:lineRule="exact"/>
              <w:jc w:val="center"/>
              <w:rPr>
                <w:rFonts w:ascii="仿宋" w:hAnsi="仿宋" w:eastAsia="仿宋" w:cs="仿宋"/>
                <w:szCs w:val="21"/>
              </w:rPr>
            </w:pPr>
            <w:r>
              <w:rPr>
                <w:rFonts w:hint="eastAsia" w:ascii="仿宋" w:hAnsi="仿宋" w:eastAsia="仿宋" w:cs="仿宋"/>
                <w:szCs w:val="21"/>
              </w:rPr>
              <w:t>勘验任务</w:t>
            </w:r>
          </w:p>
        </w:tc>
        <w:tc>
          <w:tcPr>
            <w:tcW w:w="1736" w:type="dxa"/>
            <w:gridSpan w:val="2"/>
            <w:vAlign w:val="center"/>
          </w:tcPr>
          <w:p>
            <w:pPr>
              <w:spacing w:line="300" w:lineRule="exact"/>
              <w:jc w:val="center"/>
              <w:rPr>
                <w:rFonts w:ascii="仿宋" w:hAnsi="仿宋" w:eastAsia="仿宋" w:cs="仿宋"/>
                <w:szCs w:val="21"/>
              </w:rPr>
            </w:pPr>
            <w:r>
              <w:rPr>
                <w:rFonts w:hint="eastAsia" w:ascii="仿宋" w:hAnsi="仿宋" w:eastAsia="仿宋" w:cs="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vAlign w:val="center"/>
          </w:tcPr>
          <w:p>
            <w:pPr>
              <w:rPr>
                <w:rFonts w:hint="eastAsia" w:ascii="仿宋" w:hAnsi="仿宋" w:eastAsia="仿宋" w:cs="仿宋"/>
                <w:szCs w:val="21"/>
              </w:rPr>
            </w:pPr>
          </w:p>
        </w:tc>
        <w:tc>
          <w:tcPr>
            <w:tcW w:w="1286" w:type="dxa"/>
            <w:gridSpan w:val="2"/>
            <w:vAlign w:val="center"/>
          </w:tcPr>
          <w:p>
            <w:pPr>
              <w:rPr>
                <w:rFonts w:hint="eastAsia" w:ascii="仿宋" w:hAnsi="仿宋" w:eastAsia="仿宋" w:cs="仿宋"/>
                <w:szCs w:val="21"/>
              </w:rPr>
            </w:pPr>
            <w:r>
              <w:rPr>
                <w:rFonts w:hint="eastAsia" w:ascii="仿宋" w:hAnsi="仿宋" w:eastAsia="仿宋" w:cs="仿宋"/>
                <w:szCs w:val="21"/>
              </w:rPr>
              <w:t>李伟</w:t>
            </w:r>
          </w:p>
        </w:tc>
        <w:tc>
          <w:tcPr>
            <w:tcW w:w="1360" w:type="dxa"/>
            <w:gridSpan w:val="3"/>
            <w:vAlign w:val="center"/>
          </w:tcPr>
          <w:p>
            <w:pPr>
              <w:rPr>
                <w:rFonts w:hint="eastAsia" w:ascii="仿宋" w:hAnsi="仿宋" w:eastAsia="仿宋" w:cs="仿宋"/>
                <w:szCs w:val="21"/>
              </w:rPr>
            </w:pPr>
            <w:r>
              <w:rPr>
                <w:rFonts w:hint="eastAsia" w:ascii="仿宋" w:hAnsi="仿宋" w:eastAsia="仿宋" w:cs="仿宋"/>
                <w:szCs w:val="21"/>
              </w:rPr>
              <w:t>2020年8月12日</w:t>
            </w:r>
          </w:p>
        </w:tc>
        <w:tc>
          <w:tcPr>
            <w:tcW w:w="4190" w:type="dxa"/>
            <w:gridSpan w:val="7"/>
            <w:vAlign w:val="center"/>
          </w:tcPr>
          <w:p>
            <w:pPr>
              <w:rPr>
                <w:rFonts w:hint="eastAsia" w:ascii="仿宋" w:hAnsi="仿宋" w:eastAsia="仿宋" w:cs="仿宋"/>
                <w:szCs w:val="21"/>
              </w:rPr>
            </w:pPr>
            <w:r>
              <w:rPr>
                <w:rFonts w:hint="eastAsia" w:ascii="仿宋" w:hAnsi="仿宋" w:eastAsia="仿宋" w:cs="仿宋"/>
                <w:szCs w:val="21"/>
              </w:rPr>
              <w:t>对改造项目情况、周边环境、法律法规与改造项目总平面布置图的符合性进行勘察。</w:t>
            </w:r>
          </w:p>
        </w:tc>
        <w:tc>
          <w:tcPr>
            <w:tcW w:w="1736" w:type="dxa"/>
            <w:gridSpan w:val="2"/>
            <w:vMerge w:val="restart"/>
            <w:vAlign w:val="center"/>
          </w:tcPr>
          <w:p>
            <w:pPr>
              <w:rPr>
                <w:rFonts w:hint="eastAsia" w:ascii="仿宋" w:hAnsi="仿宋" w:eastAsia="仿宋" w:cs="仿宋"/>
                <w:szCs w:val="21"/>
              </w:rPr>
            </w:pPr>
            <w:r>
              <w:rPr>
                <w:rFonts w:hint="eastAsia" w:ascii="仿宋" w:hAnsi="仿宋" w:eastAsia="仿宋" w:cs="仿宋"/>
                <w:szCs w:val="21"/>
              </w:rPr>
              <w:t>1、隔油池隔池之间连通管未只管</w:t>
            </w:r>
          </w:p>
          <w:p>
            <w:pPr>
              <w:rPr>
                <w:rFonts w:hint="eastAsia" w:ascii="仿宋" w:hAnsi="仿宋" w:eastAsia="仿宋" w:cs="仿宋"/>
                <w:szCs w:val="21"/>
              </w:rPr>
            </w:pPr>
            <w:r>
              <w:rPr>
                <w:rFonts w:hint="eastAsia" w:ascii="仿宋" w:hAnsi="仿宋" w:eastAsia="仿宋" w:cs="仿宋"/>
                <w:szCs w:val="21"/>
              </w:rPr>
              <w:t>2、呼吸阀、通气管未做开闭表示</w:t>
            </w:r>
          </w:p>
          <w:p>
            <w:pPr>
              <w:rPr>
                <w:rFonts w:hint="eastAsia" w:ascii="仿宋" w:hAnsi="仿宋" w:eastAsia="仿宋" w:cs="仿宋"/>
                <w:szCs w:val="21"/>
              </w:rPr>
            </w:pPr>
            <w:r>
              <w:rPr>
                <w:rFonts w:hint="eastAsia" w:ascii="仿宋" w:hAnsi="仿宋" w:eastAsia="仿宋" w:cs="仿宋"/>
                <w:szCs w:val="21"/>
              </w:rPr>
              <w:t>3、罐池内防雷段短接排未编号</w:t>
            </w:r>
          </w:p>
          <w:p>
            <w:pPr>
              <w:rPr>
                <w:rFonts w:hint="eastAsia" w:ascii="仿宋" w:hAnsi="仿宋" w:eastAsia="仿宋" w:cs="仿宋"/>
                <w:szCs w:val="21"/>
              </w:rPr>
            </w:pPr>
            <w:r>
              <w:rPr>
                <w:rFonts w:hint="eastAsia" w:ascii="仿宋" w:hAnsi="仿宋" w:eastAsia="仿宋" w:cs="仿宋"/>
                <w:szCs w:val="21"/>
              </w:rPr>
              <w:t>4、卸油区未设监控</w:t>
            </w:r>
          </w:p>
          <w:p>
            <w:pPr>
              <w:rPr>
                <w:rFonts w:hint="eastAsia" w:ascii="仿宋" w:hAnsi="仿宋" w:eastAsia="仿宋" w:cs="仿宋"/>
                <w:szCs w:val="21"/>
              </w:rPr>
            </w:pPr>
            <w:r>
              <w:rPr>
                <w:rFonts w:hint="eastAsia" w:ascii="仿宋" w:hAnsi="仿宋" w:eastAsia="仿宋" w:cs="仿宋"/>
                <w:szCs w:val="21"/>
              </w:rPr>
              <w:t>5、发电机房未装设应急灯、挡鼠板及绝缘胶垫，排烟管未设防烫装置</w:t>
            </w:r>
          </w:p>
          <w:p>
            <w:pPr>
              <w:rPr>
                <w:rFonts w:hint="eastAsia" w:ascii="仿宋" w:hAnsi="仿宋" w:eastAsia="仿宋" w:cs="仿宋"/>
                <w:szCs w:val="21"/>
              </w:rPr>
            </w:pPr>
            <w:r>
              <w:rPr>
                <w:rFonts w:hint="eastAsia" w:ascii="仿宋" w:hAnsi="仿宋" w:eastAsia="仿宋" w:cs="仿宋"/>
                <w:szCs w:val="21"/>
              </w:rPr>
              <w:t>6、配电室未装设应急灯、挡鼠板及绝缘胶垫，</w:t>
            </w:r>
          </w:p>
          <w:p>
            <w:pPr>
              <w:rPr>
                <w:rFonts w:hint="eastAsia" w:ascii="仿宋" w:hAnsi="仿宋" w:eastAsia="仿宋" w:cs="仿宋"/>
                <w:szCs w:val="21"/>
              </w:rPr>
            </w:pPr>
            <w:r>
              <w:rPr>
                <w:rFonts w:hint="eastAsia" w:ascii="仿宋" w:hAnsi="仿宋" w:eastAsia="仿宋" w:cs="仿宋"/>
                <w:szCs w:val="21"/>
              </w:rPr>
              <w:t>7、密闭卸油口接地线未连接完成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vAlign w:val="center"/>
          </w:tcPr>
          <w:p>
            <w:pPr>
              <w:rPr>
                <w:rFonts w:hint="eastAsia" w:ascii="仿宋" w:hAnsi="仿宋" w:eastAsia="仿宋" w:cs="仿宋"/>
                <w:szCs w:val="21"/>
              </w:rPr>
            </w:pPr>
          </w:p>
        </w:tc>
        <w:tc>
          <w:tcPr>
            <w:tcW w:w="1286" w:type="dxa"/>
            <w:gridSpan w:val="2"/>
            <w:vAlign w:val="center"/>
          </w:tcPr>
          <w:p>
            <w:pPr>
              <w:rPr>
                <w:rFonts w:hint="eastAsia" w:ascii="仿宋" w:hAnsi="仿宋" w:eastAsia="仿宋" w:cs="仿宋"/>
                <w:szCs w:val="21"/>
              </w:rPr>
            </w:pPr>
            <w:r>
              <w:rPr>
                <w:rFonts w:hint="eastAsia" w:ascii="仿宋" w:hAnsi="仿宋" w:eastAsia="仿宋" w:cs="仿宋"/>
                <w:szCs w:val="21"/>
              </w:rPr>
              <w:t>王永辉</w:t>
            </w:r>
          </w:p>
        </w:tc>
        <w:tc>
          <w:tcPr>
            <w:tcW w:w="1360" w:type="dxa"/>
            <w:gridSpan w:val="3"/>
            <w:vAlign w:val="center"/>
          </w:tcPr>
          <w:p>
            <w:pPr>
              <w:rPr>
                <w:rFonts w:hint="eastAsia" w:ascii="仿宋" w:hAnsi="仿宋" w:eastAsia="仿宋" w:cs="仿宋"/>
                <w:szCs w:val="21"/>
              </w:rPr>
            </w:pPr>
            <w:r>
              <w:rPr>
                <w:rFonts w:hint="eastAsia" w:ascii="仿宋" w:hAnsi="仿宋" w:eastAsia="仿宋" w:cs="仿宋"/>
                <w:szCs w:val="21"/>
              </w:rPr>
              <w:t>2020年8月12日</w:t>
            </w:r>
          </w:p>
        </w:tc>
        <w:tc>
          <w:tcPr>
            <w:tcW w:w="4190" w:type="dxa"/>
            <w:gridSpan w:val="7"/>
            <w:vAlign w:val="center"/>
          </w:tcPr>
          <w:p>
            <w:pPr>
              <w:rPr>
                <w:rFonts w:hint="eastAsia" w:ascii="仿宋" w:hAnsi="仿宋" w:eastAsia="仿宋" w:cs="仿宋"/>
                <w:szCs w:val="21"/>
              </w:rPr>
            </w:pPr>
            <w:r>
              <w:rPr>
                <w:rFonts w:hint="eastAsia" w:ascii="仿宋" w:hAnsi="仿宋" w:eastAsia="仿宋" w:cs="仿宋"/>
                <w:szCs w:val="21"/>
              </w:rPr>
              <w:t>对改造项目情况、周边环境、法律法规与改造项目总平面布置图的符合性进行勘察并收集资料。</w:t>
            </w:r>
          </w:p>
        </w:tc>
        <w:tc>
          <w:tcPr>
            <w:tcW w:w="1736" w:type="dxa"/>
            <w:gridSpan w:val="2"/>
            <w:vMerge w:val="continue"/>
            <w:vAlign w:val="center"/>
          </w:tcPr>
          <w:p>
            <w:pPr>
              <w:rPr>
                <w:rFonts w:hint="eastAsia" w:ascii="仿宋" w:hAnsi="仿宋" w:eastAsia="仿宋" w:cs="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26ADB"/>
    <w:rsid w:val="67F26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ahoma" w:hAnsi="Calibri" w:eastAsia="宋体" w:cs="Tahoma"/>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2020-09-07T08:54:00Z</dcterms:created>
  <dc:creator>Neuropathy.</dc:creator>
  <cp:lastModifiedBy>Neuropathy.</cp:lastModifiedBy>
  <dcterms:modified xsi:type="dcterms:W3CDTF">2020-09-07T08:54:31Z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