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bookmarkStart w:id="0" w:name="_Toc16246"/>
      <w:r>
        <w:rPr>
          <w:rFonts w:hint="eastAsia" w:ascii="仿宋" w:hAnsi="仿宋" w:eastAsia="仿宋"/>
          <w:b/>
          <w:sz w:val="28"/>
          <w:szCs w:val="28"/>
        </w:rPr>
        <w:t>《安全评价报告信息公布表》</w:t>
      </w:r>
      <w:bookmarkEnd w:id="0"/>
    </w:p>
    <w:tbl>
      <w:tblPr>
        <w:tblStyle w:val="3"/>
        <w:tblW w:w="995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9"/>
        <w:gridCol w:w="677"/>
        <w:gridCol w:w="908"/>
        <w:gridCol w:w="588"/>
        <w:gridCol w:w="813"/>
        <w:gridCol w:w="949"/>
        <w:gridCol w:w="271"/>
        <w:gridCol w:w="39"/>
        <w:gridCol w:w="1186"/>
        <w:gridCol w:w="101"/>
        <w:gridCol w:w="163"/>
        <w:gridCol w:w="718"/>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35" w:type="dxa"/>
            <w:gridSpan w:val="5"/>
            <w:noWrap w:val="0"/>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7"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7"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rPr>
              <w:t>APJ-（</w:t>
            </w:r>
            <w:r>
              <w:rPr>
                <w:rFonts w:hint="eastAsia" w:ascii="仿宋" w:hAnsi="仿宋" w:eastAsia="仿宋"/>
                <w:szCs w:val="21"/>
                <w:lang w:eastAsia="zh-CN"/>
              </w:rPr>
              <w:t>渝</w:t>
            </w:r>
            <w:r>
              <w:rPr>
                <w:rFonts w:hint="eastAsia" w:ascii="仿宋" w:hAnsi="仿宋" w:eastAsia="仿宋"/>
                <w:szCs w:val="21"/>
              </w:rPr>
              <w:t>）-</w:t>
            </w:r>
            <w:r>
              <w:rPr>
                <w:rFonts w:hint="eastAsia" w:ascii="仿宋" w:hAnsi="仿宋" w:eastAsia="仿宋"/>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69" w:type="dxa"/>
            <w:gridSpan w:val="1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color w:val="auto"/>
                <w:szCs w:val="21"/>
                <w:lang w:val="en-US" w:eastAsia="zh-CN"/>
              </w:rPr>
              <w:t>成都酷蜂石油销售有限公司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69" w:type="dxa"/>
            <w:gridSpan w:val="13"/>
            <w:noWrap w:val="0"/>
            <w:vAlign w:val="center"/>
          </w:tcPr>
          <w:p>
            <w:pPr>
              <w:spacing w:line="500" w:lineRule="exact"/>
              <w:jc w:val="center"/>
              <w:rPr>
                <w:rFonts w:ascii="仿宋" w:hAnsi="仿宋" w:eastAsia="仿宋"/>
                <w:bCs/>
                <w:szCs w:val="21"/>
              </w:rPr>
            </w:pPr>
            <w:r>
              <w:rPr>
                <w:rFonts w:hint="eastAsia" w:ascii="仿宋" w:hAnsi="仿宋" w:eastAsia="仿宋"/>
                <w:color w:val="auto"/>
                <w:szCs w:val="21"/>
                <w:lang w:val="en-US" w:eastAsia="zh-CN"/>
              </w:rPr>
              <w:t>成都酷蜂石油销售有限公司涪陵区碧水社区加油站改建工程安全验收评价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69" w:type="dxa"/>
            <w:gridSpan w:val="13"/>
            <w:noWrap w:val="0"/>
            <w:vAlign w:val="center"/>
          </w:tcPr>
          <w:p>
            <w:pPr>
              <w:spacing w:line="500" w:lineRule="exact"/>
              <w:jc w:val="center"/>
              <w:rPr>
                <w:rFonts w:ascii="仿宋" w:hAnsi="仿宋" w:eastAsia="仿宋"/>
                <w:szCs w:val="21"/>
              </w:rPr>
            </w:pPr>
            <w:r>
              <w:rPr>
                <w:rFonts w:hint="eastAsia" w:ascii="仿宋" w:hAnsi="仿宋" w:eastAsia="仿宋"/>
                <w:szCs w:val="21"/>
              </w:rPr>
              <w:t>□预评价   □现状评价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066" w:type="dxa"/>
            <w:gridSpan w:val="2"/>
            <w:noWrap w:val="0"/>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92" w:type="dxa"/>
            <w:gridSpan w:val="12"/>
            <w:noWrap w:val="0"/>
            <w:vAlign w:val="top"/>
          </w:tcPr>
          <w:p>
            <w:pPr>
              <w:spacing w:line="400" w:lineRule="exact"/>
              <w:ind w:firstLine="2310" w:firstLineChars="1100"/>
              <w:rPr>
                <w:rFonts w:ascii="仿宋" w:hAnsi="仿宋" w:eastAsia="仿宋"/>
                <w:szCs w:val="21"/>
              </w:rPr>
            </w:pPr>
            <w:r>
              <w:rPr>
                <w:rFonts w:hint="eastAsia" w:ascii="仿宋" w:hAnsi="仿宋" w:eastAsia="仿宋"/>
                <w:szCs w:val="21"/>
              </w:rPr>
              <w:t>汽油、柴油经营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958" w:type="dxa"/>
            <w:gridSpan w:val="14"/>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6"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09" w:type="dxa"/>
            <w:gridSpan w:val="6"/>
            <w:noWrap w:val="0"/>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74"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b/>
                <w:szCs w:val="21"/>
              </w:rPr>
            </w:pPr>
          </w:p>
        </w:tc>
        <w:tc>
          <w:tcPr>
            <w:tcW w:w="2986"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李伟</w:t>
            </w:r>
          </w:p>
        </w:tc>
        <w:tc>
          <w:tcPr>
            <w:tcW w:w="2709" w:type="dxa"/>
            <w:gridSpan w:val="6"/>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刘国勇</w:t>
            </w:r>
          </w:p>
        </w:tc>
        <w:tc>
          <w:tcPr>
            <w:tcW w:w="2874"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73"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72"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8"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6" w:type="dxa"/>
            <w:gridSpan w:val="2"/>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b/>
                <w:szCs w:val="21"/>
              </w:rPr>
            </w:pPr>
          </w:p>
        </w:tc>
        <w:tc>
          <w:tcPr>
            <w:tcW w:w="2173"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李伟</w:t>
            </w:r>
          </w:p>
        </w:tc>
        <w:tc>
          <w:tcPr>
            <w:tcW w:w="2072"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2021.8</w:t>
            </w:r>
          </w:p>
        </w:tc>
        <w:tc>
          <w:tcPr>
            <w:tcW w:w="2168"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蔡治勇</w:t>
            </w:r>
          </w:p>
        </w:tc>
        <w:tc>
          <w:tcPr>
            <w:tcW w:w="2156" w:type="dxa"/>
            <w:gridSpan w:val="2"/>
            <w:noWrap w:val="0"/>
            <w:vAlign w:val="center"/>
          </w:tcPr>
          <w:p>
            <w:pPr>
              <w:spacing w:line="500" w:lineRule="exact"/>
              <w:jc w:val="center"/>
              <w:rPr>
                <w:rFonts w:ascii="仿宋" w:hAnsi="仿宋" w:eastAsia="仿宋"/>
                <w:szCs w:val="21"/>
              </w:rPr>
            </w:pPr>
            <w:r>
              <w:rPr>
                <w:rFonts w:hint="eastAsia" w:ascii="仿宋" w:hAnsi="仿宋" w:eastAsia="仿宋"/>
                <w:szCs w:val="21"/>
                <w:lang w:eastAsia="zh-CN"/>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5" w:type="dxa"/>
            <w:gridSpan w:val="2"/>
            <w:noWrap w:val="0"/>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60"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61"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63" w:type="dxa"/>
            <w:noWrap w:val="0"/>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李 伟</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机械专业相关内容</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1800000000201223</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王 梅</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电气工程及其自动化</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S011053000110191001147</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55090076425</w:t>
            </w:r>
          </w:p>
        </w:tc>
        <w:tc>
          <w:tcPr>
            <w:tcW w:w="1663" w:type="dxa"/>
            <w:noWrap w:val="0"/>
            <w:vAlign w:val="center"/>
          </w:tcPr>
          <w:p>
            <w:pPr>
              <w:adjustRightInd w:val="0"/>
              <w:snapToGrid w:val="0"/>
              <w:jc w:val="center"/>
              <w:rPr>
                <w:rFonts w:hint="eastAsia" w:ascii="宋体" w:hAnsi="宋体" w:eastAsia="宋体" w:cs="宋体"/>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张圣菊</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color w:val="000000" w:themeColor="text1"/>
                <w:kern w:val="0"/>
                <w:sz w:val="18"/>
                <w:szCs w:val="18"/>
                <w14:textFill>
                  <w14:solidFill>
                    <w14:schemeClr w14:val="tx1"/>
                  </w14:solidFill>
                </w14:textFill>
              </w:rPr>
              <w:t>化工工艺</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S011053000110192003084</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37150168124</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田祖伟</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安全</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1700000000301781</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55180193956</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eastAsia="zh-CN"/>
              </w:rPr>
              <w:t>张郑平</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电气</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S011053000110192003137</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何文勋</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安全</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S011053000110193002272</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刘文娟</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自动化（仪表）</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1700000000201153</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55140156484</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雷楠</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储运、油气储运</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S011053000110193002251</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lang w:val="en-US" w:eastAsia="zh-CN"/>
              </w:rPr>
            </w:pPr>
            <w:r>
              <w:rPr>
                <w:rFonts w:hint="eastAsia" w:ascii="宋体" w:hAnsi="宋体" w:eastAsia="宋体" w:cs="宋体"/>
                <w:b/>
                <w:sz w:val="18"/>
                <w:szCs w:val="18"/>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林 波</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化学工艺与工程</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S011053000110192002987</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55190209531</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唐 波</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过程装备与控制工程</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S011053000110192003004</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刘国勇</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化工工艺</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1800000000100099</w:t>
            </w:r>
          </w:p>
        </w:tc>
        <w:tc>
          <w:tcPr>
            <w:tcW w:w="2661" w:type="dxa"/>
            <w:gridSpan w:val="5"/>
            <w:noWrap w:val="0"/>
            <w:vAlign w:val="top"/>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55060013805</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eastAsia="zh-CN"/>
              </w:rPr>
              <w:t>冯</w:t>
            </w:r>
            <w:r>
              <w:rPr>
                <w:rFonts w:hint="eastAsia" w:ascii="宋体" w:hAnsi="宋体" w:eastAsia="宋体" w:cs="宋体"/>
                <w:kern w:val="0"/>
                <w:sz w:val="18"/>
                <w:szCs w:val="18"/>
                <w:lang w:val="en-US" w:eastAsia="zh-CN"/>
              </w:rPr>
              <w:t xml:space="preserve"> </w:t>
            </w:r>
            <w:r>
              <w:rPr>
                <w:rFonts w:hint="eastAsia" w:ascii="宋体" w:hAnsi="宋体" w:eastAsia="宋体" w:cs="宋体"/>
                <w:kern w:val="0"/>
                <w:sz w:val="18"/>
                <w:szCs w:val="18"/>
                <w:lang w:eastAsia="zh-CN"/>
              </w:rPr>
              <w:t>皓</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机械、化工机械</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1600000000201291</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55130140330</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蔡治勇</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火炸药、安全</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0800000000102949</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55080052964</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trPr>
        <w:tc>
          <w:tcPr>
            <w:tcW w:w="1389" w:type="dxa"/>
            <w:noWrap w:val="0"/>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69" w:type="dxa"/>
            <w:gridSpan w:val="13"/>
            <w:noWrap w:val="0"/>
            <w:vAlign w:val="center"/>
          </w:tcPr>
          <w:tbl>
            <w:tblPr>
              <w:tblStyle w:val="3"/>
              <w:tblW w:w="976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755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372" w:hRule="atLeast"/>
                <w:jc w:val="center"/>
              </w:trPr>
              <w:tc>
                <w:tcPr>
                  <w:tcW w:w="7557"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val="0"/>
                    <w:snapToGrid w:val="0"/>
                    <w:textAlignment w:val="auto"/>
                    <w:rPr>
                      <w:rFonts w:hint="eastAsia"/>
                    </w:rPr>
                  </w:pPr>
                  <w:r>
                    <w:rPr>
                      <w:rFonts w:hint="eastAsia"/>
                      <w:lang w:eastAsia="zh-CN"/>
                    </w:rPr>
                    <w:t>成都酷蜂石油销售有限公司涪陵区碧水社区加油站</w:t>
                  </w:r>
                  <w:r>
                    <w:rPr>
                      <w:rFonts w:hint="eastAsia"/>
                    </w:rPr>
                    <w:t>注册</w:t>
                  </w:r>
                  <w:r>
                    <w:rPr>
                      <w:rFonts w:hint="eastAsia"/>
                      <w:lang w:eastAsia="zh-CN"/>
                    </w:rPr>
                    <w:t>地址</w:t>
                  </w:r>
                  <w:r>
                    <w:rPr>
                      <w:rFonts w:hint="eastAsia"/>
                    </w:rPr>
                    <w:t>位于</w:t>
                  </w:r>
                  <w:r>
                    <w:rPr>
                      <w:rFonts w:hint="eastAsia"/>
                      <w:lang w:eastAsia="zh-CN"/>
                    </w:rPr>
                    <w:t>重庆市涪陵区江北街道办事处碧水社区1组5号</w:t>
                  </w:r>
                  <w:r>
                    <w:rPr>
                      <w:rFonts w:hint="eastAsia"/>
                    </w:rPr>
                    <w:t>，</w:t>
                  </w:r>
                  <w:r>
                    <w:rPr>
                      <w:rFonts w:hint="eastAsia"/>
                      <w:lang w:eastAsia="zh-CN"/>
                    </w:rPr>
                    <w:t>其</w:t>
                  </w:r>
                  <w:r>
                    <w:rPr>
                      <w:rFonts w:hint="eastAsia"/>
                    </w:rPr>
                    <w:t>法定代表人</w:t>
                  </w:r>
                  <w:r>
                    <w:rPr>
                      <w:rFonts w:hint="eastAsia"/>
                      <w:lang w:eastAsia="zh-CN"/>
                    </w:rPr>
                    <w:t>为黄冉</w:t>
                  </w:r>
                  <w:r>
                    <w:rPr>
                      <w:rFonts w:hint="eastAsia"/>
                    </w:rPr>
                    <w:t>。占地面积</w:t>
                  </w:r>
                  <w:r>
                    <w:rPr>
                      <w:rFonts w:hint="eastAsia"/>
                      <w:lang w:val="en-US" w:eastAsia="zh-CN"/>
                    </w:rPr>
                    <w:t>1755</w:t>
                  </w:r>
                  <w:r>
                    <w:rPr>
                      <w:rFonts w:hint="eastAsia"/>
                    </w:rPr>
                    <w:t>m2，建筑面积</w:t>
                  </w:r>
                  <w:r>
                    <w:rPr>
                      <w:rFonts w:hint="eastAsia"/>
                      <w:lang w:val="en-US" w:eastAsia="zh-CN"/>
                    </w:rPr>
                    <w:t>315.27</w:t>
                  </w:r>
                  <w:r>
                    <w:rPr>
                      <w:rFonts w:hint="eastAsia"/>
                    </w:rPr>
                    <w:t>m2，</w:t>
                  </w:r>
                  <w:r>
                    <w:rPr>
                      <w:rFonts w:hint="eastAsia"/>
                      <w:lang w:eastAsia="zh-CN"/>
                    </w:rPr>
                    <w:t>（</w:t>
                  </w:r>
                  <w:r>
                    <w:rPr>
                      <w:rFonts w:hint="eastAsia"/>
                    </w:rPr>
                    <w:t>其中</w:t>
                  </w:r>
                  <w:r>
                    <w:rPr>
                      <w:rFonts w:hint="eastAsia"/>
                      <w:lang w:eastAsia="zh-CN"/>
                    </w:rPr>
                    <w:t>综合</w:t>
                  </w:r>
                  <w:r>
                    <w:rPr>
                      <w:rFonts w:hint="eastAsia"/>
                    </w:rPr>
                    <w:t>站房（</w:t>
                  </w:r>
                  <w:r>
                    <w:rPr>
                      <w:rFonts w:hint="eastAsia"/>
                      <w:lang w:val="en-US" w:eastAsia="zh-CN"/>
                    </w:rPr>
                    <w:t>2</w:t>
                  </w:r>
                  <w:r>
                    <w:rPr>
                      <w:rFonts w:hint="eastAsia"/>
                    </w:rPr>
                    <w:t>F）面积：</w:t>
                  </w:r>
                  <w:r>
                    <w:rPr>
                      <w:rFonts w:hint="eastAsia"/>
                      <w:lang w:val="en-US" w:eastAsia="zh-CN"/>
                    </w:rPr>
                    <w:t>153.02</w:t>
                  </w:r>
                  <w:r>
                    <w:rPr>
                      <w:rFonts w:hint="eastAsia"/>
                    </w:rPr>
                    <w:t>m2、加油棚面积：</w:t>
                  </w:r>
                  <w:r>
                    <w:rPr>
                      <w:rFonts w:hint="eastAsia"/>
                      <w:lang w:val="en-US" w:eastAsia="zh-CN"/>
                    </w:rPr>
                    <w:t>162.25</w:t>
                  </w:r>
                  <w:r>
                    <w:rPr>
                      <w:rFonts w:hint="eastAsia"/>
                    </w:rPr>
                    <w:t>m2</w:t>
                  </w:r>
                  <w:r>
                    <w:rPr>
                      <w:rFonts w:hint="eastAsia"/>
                      <w:lang w:eastAsia="zh-CN"/>
                    </w:rPr>
                    <w:t>）；新建</w:t>
                  </w:r>
                  <w:r>
                    <w:rPr>
                      <w:rFonts w:hint="eastAsia"/>
                      <w:lang w:val="en-US" w:eastAsia="zh-CN"/>
                    </w:rPr>
                    <w:t>FF 92</w:t>
                  </w:r>
                  <w:r>
                    <w:rPr>
                      <w:rFonts w:hint="eastAsia"/>
                    </w:rPr>
                    <w:t>#</w:t>
                  </w:r>
                  <w:r>
                    <w:rPr>
                      <w:rFonts w:hint="eastAsia"/>
                      <w:lang w:eastAsia="zh-CN"/>
                    </w:rPr>
                    <w:t>汽油</w:t>
                  </w:r>
                  <w:r>
                    <w:rPr>
                      <w:rFonts w:hint="eastAsia"/>
                      <w:lang w:val="en-US" w:eastAsia="zh-CN"/>
                    </w:rPr>
                    <w:t>50</w:t>
                  </w:r>
                  <w:r>
                    <w:rPr>
                      <w:rFonts w:hint="eastAsia"/>
                    </w:rPr>
                    <w:t>m3罐</w:t>
                  </w:r>
                  <w:r>
                    <w:rPr>
                      <w:rFonts w:hint="eastAsia"/>
                      <w:lang w:val="en-US" w:eastAsia="zh-CN"/>
                    </w:rPr>
                    <w:t>1</w:t>
                  </w:r>
                  <w:r>
                    <w:rPr>
                      <w:rFonts w:hint="eastAsia"/>
                    </w:rPr>
                    <w:t>座，</w:t>
                  </w:r>
                  <w:r>
                    <w:rPr>
                      <w:rFonts w:hint="eastAsia"/>
                      <w:lang w:val="en-US" w:eastAsia="zh-CN"/>
                    </w:rPr>
                    <w:t>95</w:t>
                  </w:r>
                  <w:r>
                    <w:rPr>
                      <w:rFonts w:hint="eastAsia"/>
                    </w:rPr>
                    <w:t>#</w:t>
                  </w:r>
                  <w:r>
                    <w:rPr>
                      <w:rFonts w:hint="eastAsia"/>
                      <w:lang w:val="en-US" w:eastAsia="zh-CN"/>
                    </w:rPr>
                    <w:t>汽油50m3 1座，</w:t>
                  </w:r>
                  <w:r>
                    <w:rPr>
                      <w:rFonts w:hint="eastAsia"/>
                    </w:rPr>
                    <w:t>设有</w:t>
                  </w:r>
                  <w:r>
                    <w:rPr>
                      <w:rFonts w:hint="eastAsia"/>
                      <w:lang w:val="en-US" w:eastAsia="zh-CN"/>
                    </w:rPr>
                    <w:t>50</w:t>
                  </w:r>
                  <w:r>
                    <w:rPr>
                      <w:rFonts w:hint="eastAsia"/>
                    </w:rPr>
                    <w:t>m3柴油罐</w:t>
                  </w:r>
                  <w:r>
                    <w:rPr>
                      <w:rFonts w:hint="eastAsia"/>
                      <w:lang w:val="en-US" w:eastAsia="zh-CN"/>
                    </w:rPr>
                    <w:t>1</w:t>
                  </w:r>
                  <w:r>
                    <w:rPr>
                      <w:rFonts w:hint="eastAsia"/>
                    </w:rPr>
                    <w:t>座，</w:t>
                  </w:r>
                  <w:r>
                    <w:rPr>
                      <w:rFonts w:hint="eastAsia"/>
                      <w:lang w:eastAsia="zh-CN"/>
                    </w:rPr>
                    <w:t>四枪</w:t>
                  </w:r>
                  <w:r>
                    <w:rPr>
                      <w:rFonts w:hint="eastAsia"/>
                    </w:rPr>
                    <w:t>加油机</w:t>
                  </w:r>
                  <w:r>
                    <w:rPr>
                      <w:rFonts w:hint="eastAsia"/>
                      <w:lang w:val="en-US" w:eastAsia="zh-CN"/>
                    </w:rPr>
                    <w:t>2</w:t>
                  </w:r>
                  <w:r>
                    <w:rPr>
                      <w:rFonts w:hint="eastAsia"/>
                    </w:rPr>
                    <w:t>台，（根据GB50156-2012，2014年版第3.0.9条规定：柴油罐容积折半计入油罐总容积，故该站油罐总容积为</w:t>
                  </w:r>
                  <w:r>
                    <w:rPr>
                      <w:rFonts w:hint="eastAsia"/>
                      <w:lang w:val="en-US" w:eastAsia="zh-CN"/>
                    </w:rPr>
                    <w:t>125</w:t>
                  </w:r>
                  <w:r>
                    <w:rPr>
                      <w:rFonts w:hint="eastAsia"/>
                    </w:rPr>
                    <w:t>m3），属于</w:t>
                  </w:r>
                  <w:r>
                    <w:rPr>
                      <w:rFonts w:hint="eastAsia"/>
                      <w:lang w:eastAsia="zh-CN"/>
                    </w:rPr>
                    <w:t>二</w:t>
                  </w:r>
                  <w:r>
                    <w:rPr>
                      <w:rFonts w:hint="eastAsia"/>
                    </w:rPr>
                    <w:t>级加油站</w:t>
                  </w:r>
                  <w:r>
                    <w:rPr>
                      <w:rFonts w:hint="eastAsia"/>
                      <w:lang w:eastAsia="zh-CN"/>
                    </w:rPr>
                    <w:t>，</w:t>
                  </w:r>
                  <w:r>
                    <w:rPr>
                      <w:rFonts w:hint="eastAsia"/>
                    </w:rPr>
                    <w:t>主要经营92#</w:t>
                  </w:r>
                  <w:r>
                    <w:rPr>
                      <w:rFonts w:hint="eastAsia"/>
                      <w:lang w:eastAsia="zh-CN"/>
                    </w:rPr>
                    <w:t>、</w:t>
                  </w:r>
                  <w:r>
                    <w:rPr>
                      <w:rFonts w:hint="eastAsia"/>
                    </w:rPr>
                    <w:t>95#汽油及0#柴油。</w:t>
                  </w:r>
                </w:p>
                <w:p>
                  <w:pPr>
                    <w:pStyle w:val="2"/>
                    <w:rPr>
                      <w:rFonts w:hint="eastAsia" w:eastAsia="仿宋"/>
                      <w:lang w:eastAsia="zh-CN"/>
                    </w:rPr>
                  </w:pPr>
                  <w:r>
                    <w:rPr>
                      <w:rFonts w:hint="eastAsia" w:eastAsia="仿宋"/>
                      <w:lang w:eastAsia="zh-CN"/>
                    </w:rPr>
                    <w:drawing>
                      <wp:inline distT="0" distB="0" distL="114300" distR="114300">
                        <wp:extent cx="4775200" cy="3581400"/>
                        <wp:effectExtent l="0" t="0" r="6350" b="0"/>
                        <wp:docPr id="1" name="图片 1" descr="IMG_20210714_1738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0210714_173840"/>
                                <pic:cNvPicPr>
                                  <a:picLocks noChangeAspect="1"/>
                                </pic:cNvPicPr>
                              </pic:nvPicPr>
                              <pic:blipFill>
                                <a:blip r:embed="rId4"/>
                                <a:stretch>
                                  <a:fillRect/>
                                </a:stretch>
                              </pic:blipFill>
                              <pic:spPr>
                                <a:xfrm>
                                  <a:off x="0" y="0"/>
                                  <a:ext cx="4775200" cy="3581400"/>
                                </a:xfrm>
                                <a:prstGeom prst="rect">
                                  <a:avLst/>
                                </a:prstGeom>
                              </pic:spPr>
                            </pic:pic>
                          </a:graphicData>
                        </a:graphic>
                      </wp:inline>
                    </w:drawing>
                  </w:r>
                </w:p>
              </w:tc>
            </w:tr>
          </w:tbl>
          <w:p>
            <w:pPr>
              <w:keepNext w:val="0"/>
              <w:keepLines w:val="0"/>
              <w:pageBreakBefore w:val="0"/>
              <w:widowControl w:val="0"/>
              <w:kinsoku/>
              <w:wordWrap/>
              <w:overflowPunct/>
              <w:topLinePunct w:val="0"/>
              <w:autoSpaceDE/>
              <w:autoSpaceDN/>
              <w:bidi w:val="0"/>
              <w:adjustRightInd w:val="0"/>
              <w:snapToGrid w:val="0"/>
              <w:jc w:val="left"/>
              <w:textAlignment w:val="auto"/>
              <w:rPr>
                <w:rFonts w:hint="eastAsia" w:ascii="仿宋" w:hAnsi="仿宋" w:eastAsia="仿宋" w:cs="宋体"/>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restart"/>
            <w:noWrap w:val="0"/>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5"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21" w:type="dxa"/>
            <w:gridSpan w:val="4"/>
            <w:noWrap w:val="0"/>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5"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8" w:type="dxa"/>
            <w:gridSpan w:val="5"/>
            <w:noWrap w:val="0"/>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szCs w:val="21"/>
              </w:rPr>
            </w:pPr>
          </w:p>
        </w:tc>
        <w:tc>
          <w:tcPr>
            <w:tcW w:w="1585"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val="en-US" w:eastAsia="zh-CN"/>
              </w:rPr>
              <w:t>李伟</w:t>
            </w:r>
          </w:p>
        </w:tc>
        <w:tc>
          <w:tcPr>
            <w:tcW w:w="2621" w:type="dxa"/>
            <w:gridSpan w:val="4"/>
            <w:noWrap w:val="0"/>
            <w:vAlign w:val="center"/>
          </w:tcPr>
          <w:p>
            <w:pPr>
              <w:spacing w:line="300" w:lineRule="exact"/>
              <w:jc w:val="center"/>
              <w:rPr>
                <w:rFonts w:hint="default" w:ascii="仿宋" w:hAnsi="仿宋" w:eastAsia="仿宋"/>
                <w:szCs w:val="21"/>
                <w:lang w:val="en-US" w:eastAsia="zh-CN"/>
              </w:rPr>
            </w:pPr>
            <w:r>
              <w:rPr>
                <w:rFonts w:hint="eastAsia" w:ascii="仿宋" w:hAnsi="仿宋" w:eastAsia="仿宋"/>
                <w:szCs w:val="21"/>
              </w:rPr>
              <w:t>202</w:t>
            </w:r>
            <w:r>
              <w:rPr>
                <w:rFonts w:hint="eastAsia" w:ascii="仿宋" w:hAnsi="仿宋" w:eastAsia="仿宋"/>
                <w:szCs w:val="21"/>
                <w:lang w:val="en-US" w:eastAsia="zh-CN"/>
              </w:rPr>
              <w:t>1</w:t>
            </w:r>
            <w:r>
              <w:rPr>
                <w:rFonts w:hint="eastAsia" w:ascii="仿宋" w:hAnsi="仿宋" w:eastAsia="仿宋"/>
                <w:szCs w:val="21"/>
              </w:rPr>
              <w:t>.</w:t>
            </w:r>
            <w:r>
              <w:rPr>
                <w:rFonts w:hint="eastAsia" w:ascii="仿宋" w:hAnsi="仿宋" w:eastAsia="仿宋"/>
                <w:szCs w:val="21"/>
                <w:lang w:val="en-US" w:eastAsia="zh-CN"/>
              </w:rPr>
              <w:t>6</w:t>
            </w:r>
            <w:r>
              <w:rPr>
                <w:rFonts w:hint="eastAsia" w:ascii="仿宋" w:hAnsi="仿宋" w:eastAsia="仿宋"/>
                <w:szCs w:val="21"/>
              </w:rPr>
              <w:t>.</w:t>
            </w:r>
            <w:r>
              <w:rPr>
                <w:rFonts w:hint="eastAsia" w:ascii="仿宋" w:hAnsi="仿宋" w:eastAsia="仿宋"/>
                <w:szCs w:val="21"/>
                <w:lang w:val="en-US" w:eastAsia="zh-CN"/>
              </w:rPr>
              <w:t>10</w:t>
            </w:r>
          </w:p>
        </w:tc>
        <w:tc>
          <w:tcPr>
            <w:tcW w:w="1225" w:type="dxa"/>
            <w:gridSpan w:val="2"/>
            <w:noWrap w:val="0"/>
            <w:vAlign w:val="center"/>
          </w:tcPr>
          <w:p>
            <w:pPr>
              <w:spacing w:line="300" w:lineRule="exact"/>
              <w:jc w:val="center"/>
              <w:rPr>
                <w:rFonts w:ascii="仿宋" w:hAnsi="仿宋" w:eastAsia="仿宋"/>
                <w:szCs w:val="21"/>
              </w:rPr>
            </w:pPr>
          </w:p>
        </w:tc>
        <w:tc>
          <w:tcPr>
            <w:tcW w:w="3138" w:type="dxa"/>
            <w:gridSpan w:val="5"/>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eastAsia="zh-CN"/>
              </w:rPr>
              <w:t>见报告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b/>
                <w:szCs w:val="21"/>
              </w:rPr>
            </w:pPr>
          </w:p>
        </w:tc>
        <w:tc>
          <w:tcPr>
            <w:tcW w:w="1585" w:type="dxa"/>
            <w:gridSpan w:val="2"/>
            <w:noWrap w:val="0"/>
            <w:vAlign w:val="center"/>
          </w:tcPr>
          <w:p>
            <w:pPr>
              <w:spacing w:line="300" w:lineRule="exact"/>
              <w:jc w:val="center"/>
              <w:rPr>
                <w:rFonts w:ascii="仿宋" w:hAnsi="仿宋" w:eastAsia="仿宋"/>
                <w:b/>
                <w:szCs w:val="21"/>
              </w:rPr>
            </w:pPr>
          </w:p>
        </w:tc>
        <w:tc>
          <w:tcPr>
            <w:tcW w:w="2621" w:type="dxa"/>
            <w:gridSpan w:val="4"/>
            <w:noWrap w:val="0"/>
            <w:vAlign w:val="center"/>
          </w:tcPr>
          <w:p>
            <w:pPr>
              <w:spacing w:line="300" w:lineRule="exact"/>
              <w:jc w:val="center"/>
              <w:rPr>
                <w:rFonts w:ascii="仿宋" w:hAnsi="仿宋" w:eastAsia="仿宋"/>
                <w:b/>
                <w:szCs w:val="21"/>
              </w:rPr>
            </w:pPr>
          </w:p>
        </w:tc>
        <w:tc>
          <w:tcPr>
            <w:tcW w:w="1225" w:type="dxa"/>
            <w:gridSpan w:val="2"/>
            <w:noWrap w:val="0"/>
            <w:vAlign w:val="center"/>
          </w:tcPr>
          <w:p>
            <w:pPr>
              <w:spacing w:line="300" w:lineRule="exact"/>
              <w:jc w:val="center"/>
              <w:rPr>
                <w:rFonts w:ascii="仿宋" w:hAnsi="仿宋" w:eastAsia="仿宋"/>
                <w:b/>
                <w:szCs w:val="21"/>
              </w:rPr>
            </w:pPr>
          </w:p>
        </w:tc>
        <w:tc>
          <w:tcPr>
            <w:tcW w:w="3138" w:type="dxa"/>
            <w:gridSpan w:val="5"/>
            <w:noWrap w:val="0"/>
            <w:vAlign w:val="center"/>
          </w:tcPr>
          <w:p>
            <w:pPr>
              <w:spacing w:line="300" w:lineRule="exact"/>
              <w:jc w:val="center"/>
              <w:rPr>
                <w:rFonts w:ascii="仿宋" w:hAnsi="仿宋" w:eastAsia="仿宋"/>
                <w:b/>
                <w:szCs w:val="21"/>
              </w:rPr>
            </w:pPr>
          </w:p>
        </w:tc>
      </w:tr>
    </w:tbl>
    <w:p>
      <w:bookmarkStart w:id="1" w:name="_GoBack"/>
      <w:bookmarkEnd w:id="1"/>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6565B2F"/>
    <w:rsid w:val="46565B2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2021-08-19T07:09:00Z</dcterms:created>
  <dc:creator>雷楠</dc:creator>
  <cp:lastModifiedBy>雷楠</cp:lastModifiedBy>
  <dcterms:modified xsi:type="dcterms:W3CDTF">2021-08-19T07:10:06Z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