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Arial" w:hAnsi="宋体" w:cs="Arial"/>
                <w:color w:val="000000"/>
              </w:rPr>
              <w:t>中石化西南油气分公司彭州气田（海相）开发项目部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adjustRightInd w:val="0"/>
              <w:snapToGrid w:val="0"/>
              <w:jc w:val="center"/>
              <w:rPr>
                <w:rFonts w:ascii="仿宋" w:hAnsi="仿宋" w:eastAsia="仿宋"/>
                <w:szCs w:val="21"/>
              </w:rPr>
            </w:pPr>
            <w:r>
              <w:rPr>
                <w:rFonts w:hint="eastAsia" w:ascii="Arial" w:hAnsi="宋体" w:cs="Arial"/>
                <w:color w:val="000000"/>
              </w:rPr>
              <w:t>彭州2井钻井工程安全预评价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2022.6</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唐波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0"/>
              </w:rPr>
              <w:t>035894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罗刚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035523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55210262939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张郑平</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035874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林波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035615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55190209531</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高创波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039952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55210270139</w:t>
            </w:r>
          </w:p>
        </w:tc>
        <w:tc>
          <w:tcPr>
            <w:tcW w:w="1663" w:type="dxa"/>
            <w:vAlign w:val="center"/>
          </w:tcPr>
          <w:p>
            <w:pPr>
              <w:adjustRightInd w:val="0"/>
              <w:snapToGrid w:val="0"/>
              <w:jc w:val="center"/>
              <w:rPr>
                <w:rFonts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雷楠</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储运、电气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035553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蔡治勇</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热能与动力；火工</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003832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0074134</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0177668</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陈美宝</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油气储运</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016795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55090076429</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p>
        </w:tc>
        <w:tc>
          <w:tcPr>
            <w:tcW w:w="1586" w:type="dxa"/>
            <w:gridSpan w:val="2"/>
            <w:vAlign w:val="center"/>
          </w:tcPr>
          <w:p>
            <w:pPr>
              <w:widowControl/>
              <w:adjustRightInd w:val="0"/>
              <w:snapToGrid w:val="0"/>
              <w:jc w:val="center"/>
              <w:rPr>
                <w:rFonts w:ascii="仿宋" w:hAnsi="仿宋" w:eastAsia="仿宋" w:cs="宋体"/>
                <w:kern w:val="0"/>
                <w:szCs w:val="21"/>
              </w:rPr>
            </w:pPr>
          </w:p>
        </w:tc>
        <w:tc>
          <w:tcPr>
            <w:tcW w:w="2661" w:type="dxa"/>
            <w:gridSpan w:val="5"/>
            <w:vAlign w:val="center"/>
          </w:tcPr>
          <w:p>
            <w:pPr>
              <w:widowControl/>
              <w:adjustRightInd w:val="0"/>
              <w:snapToGrid w:val="0"/>
              <w:jc w:val="center"/>
              <w:rPr>
                <w:rFonts w:ascii="仿宋" w:hAnsi="仿宋" w:eastAsia="仿宋" w:cs="宋体"/>
                <w:kern w:val="0"/>
                <w:szCs w:val="21"/>
              </w:rPr>
            </w:pP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ind w:firstLine="561"/>
            </w:pPr>
            <w:r>
              <w:t>彭州2井位于</w:t>
            </w:r>
            <w:r>
              <w:rPr>
                <w:rFonts w:ascii="Arial" w:cs="Arial"/>
              </w:rPr>
              <w:t>四川省成都市都江堰市青城山镇孙家沟</w:t>
            </w:r>
            <w:r>
              <w:t>，井别：预探井，井型：直井，设计垂深6330m，井口坐标纵（X）：3414560，横（Y）：18358217，地面海拔（H）999m。目的层：</w:t>
            </w:r>
            <w:r>
              <w:rPr>
                <w:rFonts w:ascii="Arial" w:cs="Arial"/>
              </w:rPr>
              <w:t>雷四3亚段上储层段,储层顶垂深6120m、储层底垂深6144m；雷四3亚段下储层段,储层顶垂深6169m、储层底垂深6260m。</w:t>
            </w:r>
            <w:r>
              <w:t>完钻层位：雷四2亚段。完钻原则：</w:t>
            </w:r>
            <w:r>
              <w:rPr>
                <w:rFonts w:ascii="Arial" w:cs="Arial"/>
              </w:rPr>
              <w:t>揭穿雷四</w:t>
            </w:r>
            <w:r>
              <w:t>3</w:t>
            </w:r>
            <w:r>
              <w:rPr>
                <w:rFonts w:ascii="Arial" w:cs="Arial"/>
              </w:rPr>
              <w:t>亚段，留70m试气口袋完钻</w:t>
            </w:r>
            <w:r>
              <w:t>。完井方式：套管射孔完井。</w:t>
            </w:r>
          </w:p>
          <w:p>
            <w:pPr>
              <w:ind w:firstLine="561"/>
              <w:rPr>
                <w:rFonts w:ascii="Arial" w:cs="Arial"/>
              </w:rPr>
            </w:pPr>
            <w:r>
              <w:t>彭州2井</w:t>
            </w:r>
            <w:r>
              <w:rPr>
                <w:rFonts w:ascii="Arial" w:cs="Arial"/>
              </w:rPr>
              <w:t>所在区域构造位置处于四川盆地川西坳陷龙门山前断褶带石板滩构造。根据地质设计的预测，本井雷口坡组天然气甲烷含量86%～91%，二氧化碳含量4.60%～6.50%，硫化氢含量3.6%～5.7%。</w:t>
            </w:r>
          </w:p>
          <w:p>
            <w:pPr>
              <w:rPr>
                <w:rFonts w:hint="eastAsia" w:ascii="Arial" w:eastAsia="宋体" w:cs="Arial"/>
                <w:lang w:eastAsia="zh-CN"/>
              </w:rPr>
            </w:pPr>
            <w:r>
              <w:rPr>
                <w:rFonts w:hint="eastAsia" w:ascii="Arial" w:eastAsia="宋体" w:cs="Arial"/>
                <w:lang w:eastAsia="zh-CN"/>
              </w:rPr>
              <w:drawing>
                <wp:inline distT="0" distB="0" distL="114300" distR="114300">
                  <wp:extent cx="4408170" cy="3305175"/>
                  <wp:effectExtent l="0" t="0" r="11430" b="9525"/>
                  <wp:docPr id="1" name="图片 1" descr="P6251691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6251691_c"/>
                          <pic:cNvPicPr>
                            <a:picLocks noChangeAspect="1"/>
                          </pic:cNvPicPr>
                        </pic:nvPicPr>
                        <pic:blipFill>
                          <a:blip r:embed="rId4"/>
                          <a:stretch>
                            <a:fillRect/>
                          </a:stretch>
                        </pic:blipFill>
                        <pic:spPr>
                          <a:xfrm>
                            <a:off x="0" y="0"/>
                            <a:ext cx="4408170" cy="33051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罗刚</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4.24</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3138" w:type="dxa"/>
            <w:gridSpan w:val="5"/>
            <w:vAlign w:val="center"/>
          </w:tcPr>
          <w:p>
            <w:pPr>
              <w:spacing w:line="360" w:lineRule="auto"/>
              <w:ind w:firstLine="560"/>
              <w:rPr>
                <w:rFonts w:hint="eastAsia" w:ascii="Arial" w:hAnsi="Arial" w:cs="Arial"/>
                <w:szCs w:val="28"/>
              </w:rPr>
            </w:pPr>
            <w:r>
              <w:rPr>
                <w:rFonts w:ascii="Arial" w:hAnsi="Arial" w:cs="Arial"/>
              </w:rPr>
              <w:t>场地内主要为果园和林地，西侧 和南侧分布有居民房，场地南侧有机耕道，与青城后山旅游公路顺接。</w:t>
            </w:r>
            <w:r>
              <w:rPr>
                <w:rFonts w:ascii="Arial" w:hAnsi="Arial" w:cs="Arial"/>
                <w:szCs w:val="28"/>
              </w:rPr>
              <w:t>进场道路起于青城后山旅游公路，沿既有机耕道布设，止于井场前端，长229m。</w:t>
            </w:r>
          </w:p>
          <w:p>
            <w:pPr>
              <w:ind w:firstLine="561"/>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3F06279E"/>
    <w:rsid w:val="3F062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2022-07-06T01:17:00Z</dcterms:created>
  <dc:creator>雷楠</dc:creator>
  <cp:lastModifiedBy>雷楠</cp:lastModifiedBy>
  <dcterms:modified xsi:type="dcterms:W3CDTF">2022-07-06T01:18:04Z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38750A0A079C4B19BAB4D147162F176F</vt:lpwstr>
  </property>
</Properties>
</file>