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重庆和必顺建材有限公司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重庆和必顺建材有限公司建筑石料用灰岩矿山（改建）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r>
              <w:rPr>
                <w:rFonts w:hint="eastAsia" w:ascii="仿宋" w:hAnsi="仿宋" w:eastAsia="仿宋" w:cs="仿宋"/>
                <w:color w:val="000000"/>
                <w:spacing w:val="-14"/>
                <w:szCs w:val="21"/>
                <w:lang w:eastAsia="zh-CN"/>
              </w:rPr>
              <w:t>、</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2022.</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rFonts w:hint="eastAsia"/>
                <w:color w:val="000000"/>
                <w:szCs w:val="28"/>
              </w:rPr>
              <w:t>重庆和必顺建材有限公司成立于2019年07月09日，统一社会信用代码91500117MA60F88G3C，法定代表人牟锐，经济类型为有限责任公司（法人独资），经营范围石灰岩露天开采、碎石加工、销售，营业期限为2019年07月09日至永久。重庆和必顺建材有限公司建筑石料用灰岩矿为该公司所属非煤露天矿山，采矿许可证证号C5001172019107150148955，开采矿种为建筑石料用灰岩，生产规模为100万吨/年，有效期限自2021年5月24日至2041年5月23日；安全生产许可证编号：（渝）FM安许证字〔2021〕合川170122号，有效期2021年2月23日至2024年2月22日。</w:t>
            </w:r>
          </w:p>
          <w:p>
            <w:pPr>
              <w:ind w:firstLine="560"/>
              <w:rPr>
                <w:rFonts w:hint="eastAsia"/>
                <w:color w:val="000000"/>
                <w:szCs w:val="28"/>
              </w:rPr>
            </w:pPr>
            <w:r>
              <w:rPr>
                <w:rFonts w:hint="eastAsia"/>
                <w:color w:val="000000"/>
                <w:szCs w:val="28"/>
              </w:rPr>
              <w:t>企业于2021年8月委托重庆道尔工程技术有限公司编制了《重庆和必顺建材有限公司建筑石料用灰岩矿山（改建）安全设施设计》，将矿区中部和北东侧资源分为两个采区两期进行开采，北东侧一采区采用爆破开采，中部二采区采用机械开采，现原一采区范围资源即将开采完毕，企业计划扩大开采范围，拟开发矿区南西侧资源，原二采区开采方式由机械开采调整为爆破开采。</w:t>
            </w:r>
          </w:p>
          <w:p>
            <w:pPr>
              <w:ind w:firstLine="560"/>
              <w:rPr>
                <w:rFonts w:hint="eastAsia" w:hAnsi="宋体"/>
                <w:szCs w:val="21"/>
              </w:rPr>
            </w:pPr>
            <w:r>
              <w:rPr>
                <w:rFonts w:hint="eastAsia"/>
                <w:color w:val="000000"/>
                <w:szCs w:val="28"/>
              </w:rPr>
              <w:t>根据《建设项目安全设施“三同时”监督管理办法》（国家安全监管总局令〔2010〕第36号公布，国家安全监管总局令〔2015〕第77号修正）、《重庆市安全生产监督管理局关于进一步规范全市非煤矿山安全生产行政许可工作的通知》（渝安监发〔2017〕49号）等有关规定，企业应按照改建性质履行安全设施“三同时”程序</w:t>
            </w:r>
            <w:r>
              <w:rPr>
                <w:color w:val="000000"/>
                <w:szCs w:val="28"/>
              </w:rPr>
              <w:t>。</w:t>
            </w:r>
            <w:r>
              <w:rPr>
                <w:rFonts w:hint="eastAsia" w:hAnsi="宋体"/>
                <w:szCs w:val="21"/>
              </w:rPr>
              <w:t xml:space="preserve"> </w:t>
            </w:r>
          </w:p>
          <w:p>
            <w:pPr>
              <w:pStyle w:val="2"/>
              <w:ind w:firstLine="0"/>
              <w:jc w:val="both"/>
              <w:rPr>
                <w:rFonts w:hint="eastAsia" w:hAnsi="宋体"/>
                <w:szCs w:val="21"/>
              </w:rPr>
            </w:pPr>
            <w:r>
              <w:drawing>
                <wp:inline distT="0" distB="0" distL="114300" distR="114300">
                  <wp:extent cx="2257425" cy="43148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257425" cy="4314825"/>
                          </a:xfrm>
                          <a:prstGeom prst="rect">
                            <a:avLst/>
                          </a:prstGeom>
                          <a:noFill/>
                          <a:ln>
                            <a:noFill/>
                          </a:ln>
                        </pic:spPr>
                      </pic:pic>
                    </a:graphicData>
                  </a:graphic>
                </wp:inline>
              </w:drawing>
            </w:r>
          </w:p>
          <w:p>
            <w:pPr>
              <w:pStyle w:val="2"/>
              <w:ind w:firstLine="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2022年3月28日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2022年3月28日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1EC5C7A"/>
    <w:rsid w:val="61EC5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2022-08-30T09:29:00Z</dcterms:created>
  <dc:creator>雷楠</dc:creator>
  <cp:lastModifiedBy>雷楠</cp:lastModifiedBy>
  <dcterms:modified xsi:type="dcterms:W3CDTF">2022-08-30T09:29:31Z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B14E2295C5844BAE95CD5D42078C2309</vt:lpwstr>
  </property>
</Properties>
</file>