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中国石油西南油气田分公司致密油气勘探开发项目部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永浅204井试采地面集输工程安全预评价报告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永浅204井位于四川省成都市金堂县转龙镇。永浅204井试采地面集输工程（以下简称“本工程”）建设内容主要包括试采期排采流程（以下简称“排采流程”）和试采期正式流程（以下简称“正式流程”）：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排采流程：新建永浅204井排采流程（采气站场）一套及配套排采流程（LNG试采回收）一套（同一平台内）。设计规模均为10×10</w:t>
            </w:r>
            <w:r>
              <w:rPr>
                <w:rFonts w:hint="default"/>
                <w:lang w:val="en-US" w:eastAsia="zh-CN"/>
              </w:rPr>
              <w:t>4Nm3/d</w:t>
            </w:r>
            <w:r>
              <w:rPr>
                <w:rFonts w:hint="eastAsia"/>
                <w:lang w:val="en-US" w:eastAsia="zh-CN"/>
              </w:rPr>
              <w:t>。排采流程（采气站场）主要包括</w:t>
            </w:r>
            <w:r>
              <w:rPr>
                <w:rFonts w:hint="eastAsia"/>
              </w:rPr>
              <w:t>井口装置、临时排采流程模块、计量出站模块</w:t>
            </w:r>
            <w:r>
              <w:rPr>
                <w:rFonts w:hint="eastAsia"/>
                <w:lang w:eastAsia="zh-CN"/>
              </w:rPr>
              <w:t>；排采流程（</w:t>
            </w:r>
            <w:r>
              <w:rPr>
                <w:rFonts w:hint="eastAsia"/>
                <w:lang w:val="en-US" w:eastAsia="zh-CN"/>
              </w:rPr>
              <w:t>LNG试采回收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val="en-US" w:eastAsia="zh-CN"/>
              </w:rPr>
              <w:t>主要包括调压过滤计量单元、脱酸单元、脱水脱汞单元、脱烃单元、液化单元、放散管单元、LNG装车单元等。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正式流程：新建永浅204井采气站</w:t>
            </w:r>
            <w:r>
              <w:rPr>
                <w:rFonts w:hint="default"/>
                <w:lang w:val="en-US" w:eastAsia="zh-CN"/>
              </w:rPr>
              <w:t>1</w:t>
            </w:r>
            <w:r>
              <w:rPr>
                <w:rFonts w:hint="eastAsia"/>
                <w:lang w:val="en-US" w:eastAsia="zh-CN"/>
              </w:rPr>
              <w:t>座。设计规模10×10</w:t>
            </w:r>
            <w:r>
              <w:rPr>
                <w:rFonts w:hint="default"/>
                <w:lang w:val="en-US" w:eastAsia="zh-CN"/>
              </w:rPr>
              <w:t>4Nm3/d</w:t>
            </w:r>
            <w:r>
              <w:rPr>
                <w:rFonts w:hint="eastAsia"/>
                <w:lang w:val="en-US" w:eastAsia="zh-CN"/>
              </w:rPr>
              <w:t>。主要包括新建中压除砂撬、放空分液罐、电感应加热装置、放空管等。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</w:pPr>
            <w:r>
              <w:rPr>
                <w:rFonts w:hint="eastAsia"/>
                <w:lang w:val="en-US" w:eastAsia="zh-CN"/>
              </w:rPr>
              <w:t>与上述工程配套的自动控制、总图及建筑结构、给排水、供配电、通讯、消防等公用及辅助工程。</w:t>
            </w:r>
          </w:p>
          <w:p>
            <w:pPr>
              <w:pStyle w:val="2"/>
              <w:keepNext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</w:pPr>
            <w:r>
              <w:drawing>
                <wp:inline distT="0" distB="0" distL="114300" distR="114300">
                  <wp:extent cx="3566160" cy="4890770"/>
                  <wp:effectExtent l="0" t="0" r="15240" b="508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6160" cy="4890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23.6.8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50EB57"/>
    <w:multiLevelType w:val="singleLevel"/>
    <w:tmpl w:val="8750EB57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6961805"/>
    <w:rsid w:val="46961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适应性分析（章内一级标题）"/>
    <w:qFormat/>
    <w:uiPriority w:val="0"/>
    <w:pPr>
      <w:keepNext/>
      <w:keepLines/>
      <w:adjustRightInd w:val="0"/>
      <w:snapToGrid w:val="0"/>
      <w:spacing w:line="400" w:lineRule="exact"/>
      <w:outlineLvl w:val="0"/>
    </w:pPr>
    <w:rPr>
      <w:rFonts w:ascii="宋体" w:hAnsi="宋体" w:eastAsia="黑体" w:cs="Times New Roman"/>
      <w:bCs/>
      <w:kern w:val="2"/>
      <w:sz w:val="3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689</Words>
  <Characters>986</Characters>
  <Lines>0</Lines>
  <Paragraphs>0</Paragraphs>
  <TotalTime>0</TotalTime>
  <ScaleCrop>false</ScaleCrop>
  <LinksUpToDate>false</LinksUpToDate>
  <CharactersWithSpaces>1003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2023-08-29T06:40:00Z</dcterms:created>
  <dc:creator>雷楠</dc:creator>
  <cp:lastModifiedBy>雷楠</cp:lastModifiedBy>
  <dcterms:modified xsi:type="dcterms:W3CDTF">2023-08-29T06:40:08Z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0424DE59A958486DB8FD0E8087DBC445_11</vt:lpwstr>
  </property>
</Properties>
</file>