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5"/>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重庆吞山建材有限公司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vAlign w:val="center"/>
          </w:tcPr>
          <w:p>
            <w:pPr>
              <w:spacing w:line="500" w:lineRule="exact"/>
              <w:jc w:val="center"/>
              <w:rPr>
                <w:rFonts w:hint="eastAsia" w:ascii="仿宋" w:hAnsi="仿宋" w:eastAsia="仿宋" w:cs="仿宋"/>
                <w:bCs/>
                <w:color w:val="000000"/>
                <w:szCs w:val="21"/>
              </w:rPr>
            </w:pPr>
            <w:r>
              <w:rPr>
                <w:rFonts w:hint="eastAsia" w:ascii="仿宋" w:hAnsi="仿宋" w:eastAsia="仿宋" w:cs="仿宋"/>
                <w:color w:val="000000"/>
                <w:kern w:val="0"/>
                <w:szCs w:val="21"/>
              </w:rPr>
              <w:t>重庆吞山建材有限公司重庆市万州区新田镇天德村二组水泥原料用砂岩矿（重大变更）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ascii="仿宋" w:hAnsi="仿宋" w:eastAsia="仿宋" w:cs="仿宋"/>
                <w:color w:val="000000"/>
                <w:szCs w:val="21"/>
              </w:rPr>
              <w:t xml:space="preserve">  </w:t>
            </w:r>
            <w:r>
              <w:rPr>
                <w:rFonts w:hint="eastAsia" w:ascii="仿宋" w:hAnsi="仿宋" w:eastAsia="仿宋" w:cs="仿宋"/>
                <w:color w:val="000000"/>
                <w:szCs w:val="21"/>
              </w:rPr>
              <w:t xml:space="preserve">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hint="eastAsia" w:ascii="仿宋" w:hAnsi="仿宋" w:eastAsia="仿宋"/>
                <w:b/>
                <w:color w:val="000000"/>
                <w:szCs w:val="21"/>
              </w:rPr>
            </w:pPr>
          </w:p>
        </w:tc>
        <w:tc>
          <w:tcPr>
            <w:tcW w:w="2987" w:type="dxa"/>
            <w:gridSpan w:val="3"/>
            <w:vAlign w:val="center"/>
          </w:tcPr>
          <w:p>
            <w:pPr>
              <w:pStyle w:val="4"/>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6"/>
            <w:vAlign w:val="center"/>
          </w:tcPr>
          <w:p>
            <w:pPr>
              <w:pStyle w:val="4"/>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3"/>
            <w:vAlign w:val="center"/>
          </w:tcPr>
          <w:p>
            <w:pPr>
              <w:pStyle w:val="4"/>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90" w:type="dxa"/>
            <w:vMerge w:val="continue"/>
            <w:vAlign w:val="center"/>
          </w:tcPr>
          <w:p>
            <w:pPr>
              <w:spacing w:line="500" w:lineRule="exact"/>
              <w:jc w:val="center"/>
              <w:rPr>
                <w:rFonts w:hint="eastAsia" w:ascii="仿宋" w:hAnsi="仿宋" w:eastAsia="仿宋"/>
                <w:b/>
                <w:color w:val="000000"/>
                <w:szCs w:val="21"/>
              </w:rPr>
            </w:pPr>
          </w:p>
        </w:tc>
        <w:tc>
          <w:tcPr>
            <w:tcW w:w="2174" w:type="dxa"/>
            <w:gridSpan w:val="2"/>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欧  建</w:t>
            </w:r>
          </w:p>
        </w:tc>
        <w:tc>
          <w:tcPr>
            <w:tcW w:w="2073" w:type="dxa"/>
            <w:gridSpan w:val="4"/>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2025年5月</w:t>
            </w:r>
          </w:p>
        </w:tc>
        <w:tc>
          <w:tcPr>
            <w:tcW w:w="2169" w:type="dxa"/>
            <w:gridSpan w:val="4"/>
            <w:vAlign w:val="center"/>
          </w:tcPr>
          <w:p>
            <w:pPr>
              <w:spacing w:line="5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杨平</w:t>
            </w:r>
          </w:p>
        </w:tc>
        <w:tc>
          <w:tcPr>
            <w:tcW w:w="2156" w:type="dxa"/>
            <w:gridSpan w:val="2"/>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szCs w:val="21"/>
              </w:rPr>
              <w:t>机械专业</w:t>
            </w:r>
          </w:p>
        </w:tc>
        <w:tc>
          <w:tcPr>
            <w:tcW w:w="2073" w:type="dxa"/>
            <w:gridSpan w:val="4"/>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vAlign w:val="center"/>
          </w:tcPr>
          <w:p>
            <w:pPr>
              <w:widowControl/>
              <w:jc w:val="center"/>
              <w:rPr>
                <w:rFonts w:hint="eastAsia" w:ascii="仿宋_GB2312" w:hAnsi="仿宋_GB2312" w:eastAsia="仿宋_GB2312" w:cs="仿宋_GB2312"/>
                <w:color w:val="000000"/>
                <w:sz w:val="24"/>
                <w:szCs w:val="24"/>
              </w:rPr>
            </w:pPr>
            <w:r>
              <w:rPr>
                <w:rFonts w:hint="eastAsia" w:ascii="仿宋" w:hAnsi="仿宋" w:eastAsia="仿宋" w:cs="仿宋"/>
                <w:color w:val="000000"/>
                <w:szCs w:val="21"/>
              </w:rPr>
              <w:t>55180172489</w:t>
            </w:r>
          </w:p>
        </w:tc>
        <w:tc>
          <w:tcPr>
            <w:tcW w:w="1663"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钱  鹏</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vAlign w:val="center"/>
          </w:tcPr>
          <w:p>
            <w:pPr>
              <w:widowControl/>
              <w:jc w:val="center"/>
              <w:rPr>
                <w:rFonts w:hint="eastAsia" w:ascii="仿宋" w:hAnsi="仿宋" w:eastAsia="仿宋" w:cs="仿宋"/>
                <w:color w:val="000000"/>
                <w:szCs w:val="21"/>
              </w:rPr>
            </w:pPr>
            <w:r>
              <w:rPr>
                <w:rFonts w:ascii="仿宋" w:hAnsi="仿宋" w:eastAsia="仿宋" w:cs="仿宋"/>
                <w:szCs w:val="21"/>
              </w:rPr>
              <w:t>033517</w:t>
            </w:r>
          </w:p>
        </w:tc>
        <w:tc>
          <w:tcPr>
            <w:tcW w:w="2662" w:type="dxa"/>
            <w:gridSpan w:val="5"/>
            <w:vAlign w:val="center"/>
          </w:tcPr>
          <w:p>
            <w:pPr>
              <w:widowControl/>
              <w:jc w:val="center"/>
              <w:rPr>
                <w:rFonts w:hint="eastAsia" w:ascii="仿宋_GB2312" w:hAnsi="仿宋_GB2312" w:eastAsia="仿宋_GB2312" w:cs="仿宋_GB2312"/>
                <w:color w:val="000000"/>
                <w:sz w:val="24"/>
                <w:szCs w:val="24"/>
              </w:rPr>
            </w:pPr>
            <w:r>
              <w:rPr>
                <w:rFonts w:ascii="仿宋" w:hAnsi="仿宋" w:eastAsia="仿宋" w:cs="仿宋"/>
                <w:color w:val="000000"/>
                <w:szCs w:val="21"/>
              </w:rPr>
              <w:t>55190219580</w:t>
            </w:r>
          </w:p>
        </w:tc>
        <w:tc>
          <w:tcPr>
            <w:tcW w:w="1663"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欧  建</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vAlign w:val="center"/>
          </w:tcPr>
          <w:p>
            <w:pPr>
              <w:widowControl/>
              <w:jc w:val="center"/>
              <w:rPr>
                <w:rFonts w:hint="eastAsia" w:ascii="仿宋_GB2312" w:hAnsi="仿宋_GB2312" w:eastAsia="仿宋_GB2312" w:cs="仿宋_GB2312"/>
                <w:color w:val="000000"/>
                <w:sz w:val="24"/>
                <w:szCs w:val="24"/>
              </w:rPr>
            </w:pPr>
            <w:r>
              <w:rPr>
                <w:rFonts w:hint="eastAsia" w:ascii="仿宋" w:hAnsi="仿宋" w:eastAsia="仿宋" w:cs="仿宋"/>
                <w:color w:val="000000"/>
                <w:szCs w:val="21"/>
              </w:rPr>
              <w:t>5522</w:t>
            </w:r>
            <w:r>
              <w:rPr>
                <w:rFonts w:ascii="仿宋" w:hAnsi="仿宋" w:eastAsia="仿宋" w:cs="仿宋"/>
                <w:color w:val="000000"/>
                <w:szCs w:val="21"/>
              </w:rPr>
              <w:t>0</w:t>
            </w:r>
            <w:r>
              <w:rPr>
                <w:rFonts w:hint="eastAsia" w:ascii="仿宋" w:hAnsi="仿宋" w:eastAsia="仿宋" w:cs="仿宋"/>
                <w:color w:val="000000"/>
                <w:szCs w:val="21"/>
              </w:rPr>
              <w:t>312402</w:t>
            </w:r>
          </w:p>
        </w:tc>
        <w:tc>
          <w:tcPr>
            <w:tcW w:w="1663"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孙文豪</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037349</w:t>
            </w:r>
          </w:p>
        </w:tc>
        <w:tc>
          <w:tcPr>
            <w:tcW w:w="2662" w:type="dxa"/>
            <w:gridSpan w:val="5"/>
            <w:vAlign w:val="center"/>
          </w:tcPr>
          <w:p>
            <w:pPr>
              <w:widowControl/>
              <w:jc w:val="center"/>
              <w:rPr>
                <w:rFonts w:hint="eastAsia" w:ascii="仿宋_GB2312" w:hAnsi="仿宋_GB2312" w:eastAsia="仿宋_GB2312" w:cs="仿宋_GB2312"/>
                <w:color w:val="000000"/>
                <w:sz w:val="24"/>
                <w:szCs w:val="24"/>
              </w:rPr>
            </w:pPr>
            <w:r>
              <w:rPr>
                <w:rFonts w:hint="eastAsia" w:ascii="仿宋" w:hAnsi="仿宋" w:eastAsia="仿宋" w:cs="仿宋"/>
                <w:color w:val="000000"/>
                <w:szCs w:val="21"/>
              </w:rPr>
              <w:t>19220313492</w:t>
            </w:r>
          </w:p>
        </w:tc>
        <w:tc>
          <w:tcPr>
            <w:tcW w:w="1663"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李治友</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030160</w:t>
            </w:r>
          </w:p>
        </w:tc>
        <w:tc>
          <w:tcPr>
            <w:tcW w:w="2662" w:type="dxa"/>
            <w:gridSpan w:val="5"/>
            <w:vAlign w:val="center"/>
          </w:tcPr>
          <w:p>
            <w:pPr>
              <w:widowControl/>
              <w:jc w:val="center"/>
              <w:rPr>
                <w:rFonts w:hint="eastAsia" w:ascii="仿宋_GB2312" w:hAnsi="仿宋_GB2312" w:eastAsia="仿宋_GB2312" w:cs="仿宋_GB2312"/>
                <w:color w:val="000000"/>
                <w:sz w:val="24"/>
                <w:szCs w:val="24"/>
              </w:rPr>
            </w:pPr>
          </w:p>
        </w:tc>
        <w:tc>
          <w:tcPr>
            <w:tcW w:w="1663"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张郑平</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widowControl/>
              <w:jc w:val="center"/>
              <w:rPr>
                <w:rFonts w:hint="eastAsia" w:ascii="仿宋" w:hAnsi="仿宋" w:eastAsia="仿宋" w:cs="仿宋"/>
                <w:color w:val="000000"/>
                <w:szCs w:val="21"/>
              </w:rPr>
            </w:pPr>
          </w:p>
        </w:tc>
        <w:tc>
          <w:tcPr>
            <w:tcW w:w="2662" w:type="dxa"/>
            <w:gridSpan w:val="5"/>
            <w:vAlign w:val="center"/>
          </w:tcPr>
          <w:p>
            <w:pPr>
              <w:widowControl/>
              <w:jc w:val="center"/>
              <w:rPr>
                <w:rFonts w:hint="eastAsia" w:ascii="仿宋_GB2312" w:hAnsi="仿宋_GB2312" w:eastAsia="仿宋_GB2312" w:cs="仿宋_GB2312"/>
                <w:color w:val="000000"/>
                <w:sz w:val="24"/>
                <w:szCs w:val="24"/>
              </w:rPr>
            </w:pPr>
            <w:r>
              <w:rPr>
                <w:rFonts w:hint="eastAsia" w:ascii="仿宋" w:hAnsi="仿宋" w:eastAsia="仿宋" w:cs="仿宋"/>
                <w:szCs w:val="21"/>
              </w:rPr>
              <w:t>55220291726</w:t>
            </w:r>
          </w:p>
        </w:tc>
        <w:tc>
          <w:tcPr>
            <w:tcW w:w="1663"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孟萌萌</w:t>
            </w:r>
          </w:p>
        </w:tc>
        <w:tc>
          <w:tcPr>
            <w:tcW w:w="2174" w:type="dxa"/>
            <w:gridSpan w:val="2"/>
            <w:vAlign w:val="center"/>
          </w:tcPr>
          <w:p>
            <w:pPr>
              <w:widowControl/>
              <w:jc w:val="center"/>
              <w:rPr>
                <w:rFonts w:hint="eastAsia" w:cs="仿宋"/>
                <w:color w:val="000000"/>
                <w:kern w:val="2"/>
                <w:sz w:val="21"/>
                <w:szCs w:val="21"/>
                <w:lang w:eastAsia="zh-CN"/>
              </w:rPr>
            </w:pPr>
            <w:r>
              <w:rPr>
                <w:rFonts w:hint="eastAsia" w:ascii="仿宋" w:hAnsi="仿宋" w:eastAsia="仿宋" w:cs="仿宋"/>
                <w:color w:val="000000"/>
                <w:szCs w:val="21"/>
              </w:rPr>
              <w:t>电气专业</w:t>
            </w:r>
          </w:p>
        </w:tc>
        <w:tc>
          <w:tcPr>
            <w:tcW w:w="2073" w:type="dxa"/>
            <w:gridSpan w:val="4"/>
            <w:vAlign w:val="center"/>
          </w:tcPr>
          <w:p>
            <w:pPr>
              <w:widowControl/>
              <w:jc w:val="center"/>
              <w:rPr>
                <w:rFonts w:cs="仿宋"/>
                <w:color w:val="000000"/>
                <w:szCs w:val="21"/>
              </w:rPr>
            </w:pPr>
            <w:r>
              <w:rPr>
                <w:rFonts w:ascii="仿宋" w:hAnsi="仿宋" w:eastAsia="仿宋" w:cs="仿宋"/>
                <w:color w:val="000000"/>
                <w:szCs w:val="21"/>
              </w:rPr>
              <w:t>019246</w:t>
            </w:r>
          </w:p>
        </w:tc>
        <w:tc>
          <w:tcPr>
            <w:tcW w:w="2662" w:type="dxa"/>
            <w:gridSpan w:val="5"/>
            <w:vAlign w:val="center"/>
          </w:tcPr>
          <w:p>
            <w:pPr>
              <w:widowControl/>
              <w:jc w:val="center"/>
              <w:rPr>
                <w:rFonts w:hint="eastAsia" w:ascii="仿宋_GB2312" w:hAnsi="仿宋_GB2312" w:eastAsia="仿宋_GB2312" w:cs="仿宋_GB2312"/>
                <w:color w:val="000000"/>
                <w:sz w:val="24"/>
                <w:szCs w:val="24"/>
              </w:rPr>
            </w:pPr>
          </w:p>
        </w:tc>
        <w:tc>
          <w:tcPr>
            <w:tcW w:w="1663"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唐元杰</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vAlign w:val="center"/>
          </w:tcPr>
          <w:p>
            <w:pPr>
              <w:widowControl/>
              <w:jc w:val="center"/>
              <w:rPr>
                <w:rFonts w:hint="eastAsia" w:ascii="仿宋_GB2312" w:hAnsi="仿宋_GB2312" w:eastAsia="仿宋_GB2312" w:cs="仿宋_GB2312"/>
                <w:color w:val="000000"/>
                <w:sz w:val="24"/>
                <w:szCs w:val="24"/>
              </w:rPr>
            </w:pPr>
            <w:r>
              <w:rPr>
                <w:rFonts w:hint="eastAsia" w:ascii="仿宋" w:hAnsi="仿宋" w:eastAsia="仿宋" w:cs="仿宋"/>
                <w:color w:val="000000"/>
                <w:szCs w:val="21"/>
              </w:rPr>
              <w:t>55070030029</w:t>
            </w:r>
          </w:p>
        </w:tc>
        <w:tc>
          <w:tcPr>
            <w:tcW w:w="1663"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vAlign w:val="center"/>
          </w:tcPr>
          <w:p>
            <w:pPr>
              <w:widowControl/>
              <w:jc w:val="center"/>
              <w:rPr>
                <w:rFonts w:hint="eastAsia" w:ascii="仿宋_GB2312" w:hAnsi="仿宋_GB2312" w:eastAsia="仿宋_GB2312" w:cs="仿宋_GB2312"/>
                <w:color w:val="000000"/>
                <w:sz w:val="24"/>
                <w:szCs w:val="24"/>
              </w:rPr>
            </w:pPr>
            <w:r>
              <w:rPr>
                <w:rFonts w:hint="eastAsia" w:ascii="仿宋" w:hAnsi="仿宋" w:eastAsia="仿宋" w:cs="仿宋"/>
                <w:color w:val="000000"/>
                <w:szCs w:val="21"/>
              </w:rPr>
              <w:t>55130140330</w:t>
            </w:r>
          </w:p>
        </w:tc>
        <w:tc>
          <w:tcPr>
            <w:tcW w:w="1663"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vAlign w:val="center"/>
          </w:tcPr>
          <w:p>
            <w:pPr>
              <w:widowControl/>
              <w:adjustRightInd w:val="0"/>
              <w:snapToGrid w:val="0"/>
              <w:spacing w:line="460" w:lineRule="exact"/>
              <w:jc w:val="center"/>
              <w:rPr>
                <w:rFonts w:hint="eastAsia" w:ascii="仿宋" w:hAnsi="仿宋" w:eastAsia="仿宋" w:cs="Times New Roman"/>
                <w:kern w:val="2"/>
                <w:sz w:val="21"/>
                <w:szCs w:val="21"/>
                <w:highlight w:val="none"/>
                <w:lang w:val="en-US" w:eastAsia="zh-CN" w:bidi="ar-SA"/>
              </w:rPr>
            </w:pPr>
            <w:r>
              <w:rPr>
                <w:rFonts w:hint="eastAsia" w:ascii="仿宋" w:hAnsi="仿宋" w:eastAsia="仿宋" w:cs="宋体"/>
                <w:kern w:val="0"/>
                <w:szCs w:val="21"/>
              </w:rPr>
              <w:t>闫云光</w:t>
            </w:r>
          </w:p>
        </w:tc>
        <w:tc>
          <w:tcPr>
            <w:tcW w:w="2174" w:type="dxa"/>
            <w:gridSpan w:val="2"/>
            <w:vAlign w:val="center"/>
          </w:tcPr>
          <w:p>
            <w:pPr>
              <w:widowControl/>
              <w:adjustRightInd w:val="0"/>
              <w:snapToGrid w:val="0"/>
              <w:spacing w:line="460" w:lineRule="exact"/>
              <w:jc w:val="center"/>
              <w:rPr>
                <w:rFonts w:hint="eastAsia" w:ascii="仿宋" w:hAnsi="仿宋" w:eastAsia="仿宋" w:cs="Times New Roman"/>
                <w:kern w:val="2"/>
                <w:sz w:val="21"/>
                <w:szCs w:val="21"/>
                <w:highlight w:val="none"/>
                <w:lang w:val="en-US" w:eastAsia="zh-CN" w:bidi="ar-SA"/>
              </w:rPr>
            </w:pPr>
            <w:r>
              <w:rPr>
                <w:rFonts w:hint="eastAsia" w:ascii="仿宋" w:hAnsi="仿宋" w:eastAsia="仿宋" w:cs="宋体"/>
                <w:kern w:val="0"/>
                <w:szCs w:val="21"/>
              </w:rPr>
              <w:t>电气</w:t>
            </w:r>
          </w:p>
        </w:tc>
        <w:tc>
          <w:tcPr>
            <w:tcW w:w="2073" w:type="dxa"/>
            <w:gridSpan w:val="4"/>
            <w:vAlign w:val="center"/>
          </w:tcPr>
          <w:p>
            <w:pPr>
              <w:widowControl/>
              <w:adjustRightInd w:val="0"/>
              <w:snapToGrid w:val="0"/>
              <w:spacing w:line="460" w:lineRule="exact"/>
              <w:jc w:val="center"/>
              <w:rPr>
                <w:rFonts w:hint="eastAsia" w:ascii="仿宋" w:hAnsi="仿宋" w:eastAsia="仿宋" w:cs="Times New Roman"/>
                <w:kern w:val="2"/>
                <w:sz w:val="21"/>
                <w:szCs w:val="21"/>
                <w:lang w:val="en-US" w:eastAsia="zh-CN" w:bidi="ar-SA"/>
              </w:rPr>
            </w:pPr>
          </w:p>
        </w:tc>
        <w:tc>
          <w:tcPr>
            <w:tcW w:w="2662" w:type="dxa"/>
            <w:gridSpan w:val="5"/>
            <w:vAlign w:val="center"/>
          </w:tcPr>
          <w:p>
            <w:pPr>
              <w:widowControl/>
              <w:adjustRightInd w:val="0"/>
              <w:snapToGrid w:val="0"/>
              <w:spacing w:line="460" w:lineRule="exact"/>
              <w:jc w:val="center"/>
              <w:rPr>
                <w:rFonts w:hint="eastAsia" w:ascii="仿宋" w:hAnsi="仿宋" w:eastAsia="仿宋" w:cs="宋体"/>
                <w:kern w:val="0"/>
                <w:sz w:val="21"/>
                <w:szCs w:val="21"/>
                <w:lang w:val="en-US" w:eastAsia="zh-CN" w:bidi="ar-SA"/>
              </w:rPr>
            </w:pPr>
            <w:r>
              <w:rPr>
                <w:rFonts w:ascii="仿宋" w:hAnsi="仿宋" w:eastAsia="仿宋" w:cs="宋体"/>
                <w:kern w:val="0"/>
                <w:szCs w:val="21"/>
              </w:rPr>
              <w:t>55210262938</w:t>
            </w:r>
          </w:p>
        </w:tc>
        <w:tc>
          <w:tcPr>
            <w:tcW w:w="1663" w:type="dxa"/>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vAlign w:val="center"/>
          </w:tcPr>
          <w:p>
            <w:pPr>
              <w:wordWrap w:val="0"/>
              <w:adjustRightInd w:val="0"/>
              <w:snapToGrid w:val="0"/>
              <w:spacing w:line="260" w:lineRule="exact"/>
              <w:ind w:firstLine="420" w:firstLineChars="200"/>
              <w:rPr>
                <w:rFonts w:hint="eastAsia" w:ascii="仿宋" w:hAnsi="仿宋" w:eastAsia="仿宋" w:cs="仿宋"/>
                <w:bCs/>
                <w:szCs w:val="21"/>
              </w:rPr>
            </w:pPr>
            <w:r>
              <w:rPr>
                <w:rFonts w:hint="eastAsia" w:ascii="仿宋" w:hAnsi="仿宋" w:eastAsia="仿宋" w:cs="仿宋"/>
                <w:bCs/>
                <w:szCs w:val="21"/>
              </w:rPr>
              <w:t>重庆吞山建材有限公司成立于2014年10月10日，统一社会信用代码：91500101305239979D，公司位于重庆市万州区新田镇天德村2组，经济类型为有限责任公司，法定代表人为张德权，营业期限为2014年10月10日至永久，经营范围为开采、加工、销售砂岩；销售建筑材料、沙石、水泥、矿产品等。</w:t>
            </w:r>
          </w:p>
          <w:p>
            <w:pPr>
              <w:wordWrap w:val="0"/>
              <w:adjustRightInd w:val="0"/>
              <w:snapToGrid w:val="0"/>
              <w:spacing w:line="260" w:lineRule="exact"/>
              <w:ind w:firstLine="420" w:firstLineChars="200"/>
              <w:rPr>
                <w:rFonts w:hint="eastAsia" w:ascii="仿宋" w:hAnsi="仿宋" w:eastAsia="仿宋" w:cs="仿宋"/>
                <w:bCs/>
                <w:szCs w:val="21"/>
              </w:rPr>
            </w:pPr>
            <w:r>
              <w:rPr>
                <w:rFonts w:hint="eastAsia" w:ascii="仿宋" w:hAnsi="仿宋" w:eastAsia="仿宋" w:cs="仿宋"/>
                <w:bCs/>
                <w:szCs w:val="21"/>
              </w:rPr>
              <w:t>重庆市万州区新田镇天德村二组水泥原料用砂岩矿为该公司所属矿山，位于万州区新田镇天德村2组，C5001012017017130144263，有效期：2024年11月21日至2028年12月20日，开采方式为露天开采，开采矿种为水泥配料用砂岩，生产规模为20万吨/年。</w:t>
            </w:r>
            <w:r>
              <w:rPr>
                <w:rFonts w:ascii="仿宋" w:hAnsi="仿宋" w:eastAsia="仿宋" w:cs="仿宋"/>
                <w:bCs/>
                <w:szCs w:val="21"/>
              </w:rPr>
              <w:t>开采标高：+5</w:t>
            </w:r>
            <w:r>
              <w:rPr>
                <w:rFonts w:hint="eastAsia" w:ascii="仿宋" w:hAnsi="仿宋" w:eastAsia="仿宋" w:cs="仿宋"/>
                <w:bCs/>
                <w:szCs w:val="21"/>
              </w:rPr>
              <w:t>20</w:t>
            </w:r>
            <w:r>
              <w:rPr>
                <w:rFonts w:ascii="仿宋" w:hAnsi="仿宋" w:eastAsia="仿宋" w:cs="仿宋"/>
                <w:bCs/>
                <w:szCs w:val="21"/>
              </w:rPr>
              <w:t>m～+4</w:t>
            </w:r>
            <w:r>
              <w:rPr>
                <w:rFonts w:hint="eastAsia" w:ascii="仿宋" w:hAnsi="仿宋" w:eastAsia="仿宋" w:cs="仿宋"/>
                <w:bCs/>
                <w:szCs w:val="21"/>
              </w:rPr>
              <w:t>1</w:t>
            </w:r>
            <w:r>
              <w:rPr>
                <w:rFonts w:ascii="仿宋" w:hAnsi="仿宋" w:eastAsia="仿宋" w:cs="仿宋"/>
                <w:bCs/>
                <w:szCs w:val="21"/>
              </w:rPr>
              <w:t>0m，矿区面积：0.0</w:t>
            </w:r>
            <w:r>
              <w:rPr>
                <w:rFonts w:hint="eastAsia" w:ascii="仿宋" w:hAnsi="仿宋" w:eastAsia="仿宋" w:cs="仿宋"/>
                <w:bCs/>
                <w:szCs w:val="21"/>
              </w:rPr>
              <w:t>378</w:t>
            </w:r>
            <w:r>
              <w:rPr>
                <w:rFonts w:ascii="仿宋" w:hAnsi="仿宋" w:eastAsia="仿宋" w:cs="仿宋"/>
                <w:bCs/>
                <w:szCs w:val="21"/>
              </w:rPr>
              <w:t>k</w:t>
            </w:r>
            <w:bookmarkStart w:id="0" w:name="_Hlk160458502"/>
            <w:r>
              <w:rPr>
                <w:rFonts w:hint="eastAsia" w:ascii="仿宋" w:hAnsi="仿宋" w:eastAsia="仿宋" w:cs="仿宋"/>
                <w:bCs/>
                <w:szCs w:val="21"/>
              </w:rPr>
              <w:t>m</w:t>
            </w:r>
            <w:r>
              <w:rPr>
                <w:rFonts w:hint="eastAsia" w:ascii="仿宋" w:hAnsi="仿宋" w:eastAsia="仿宋" w:cs="仿宋"/>
                <w:bCs/>
                <w:szCs w:val="21"/>
                <w:vertAlign w:val="superscript"/>
              </w:rPr>
              <w:t>2</w:t>
            </w:r>
            <w:r>
              <w:rPr>
                <w:rFonts w:hint="eastAsia" w:ascii="仿宋" w:hAnsi="仿宋" w:eastAsia="仿宋" w:cs="仿宋"/>
                <w:bCs/>
                <w:szCs w:val="21"/>
              </w:rPr>
              <w:t>；</w:t>
            </w:r>
            <w:bookmarkStart w:id="1" w:name="_Hlk201331374"/>
            <w:r>
              <w:rPr>
                <w:rFonts w:ascii="仿宋" w:hAnsi="仿宋" w:eastAsia="仿宋" w:cs="仿宋"/>
                <w:bCs/>
                <w:szCs w:val="21"/>
              </w:rPr>
              <w:t>安全生产许可</w:t>
            </w:r>
            <w:r>
              <w:rPr>
                <w:rFonts w:hint="eastAsia" w:ascii="仿宋" w:hAnsi="仿宋" w:eastAsia="仿宋" w:cs="仿宋"/>
                <w:bCs/>
                <w:szCs w:val="21"/>
              </w:rPr>
              <w:t>备案登记</w:t>
            </w:r>
            <w:bookmarkEnd w:id="1"/>
            <w:r>
              <w:rPr>
                <w:rFonts w:hint="eastAsia" w:ascii="仿宋" w:hAnsi="仿宋" w:eastAsia="仿宋" w:cs="仿宋"/>
                <w:bCs/>
                <w:szCs w:val="21"/>
              </w:rPr>
              <w:t>编</w:t>
            </w:r>
            <w:r>
              <w:rPr>
                <w:rFonts w:ascii="仿宋" w:hAnsi="仿宋" w:eastAsia="仿宋" w:cs="仿宋"/>
                <w:bCs/>
                <w:szCs w:val="21"/>
              </w:rPr>
              <w:t>号：</w:t>
            </w:r>
            <w:r>
              <w:rPr>
                <w:rFonts w:hint="eastAsia" w:ascii="仿宋" w:hAnsi="仿宋" w:eastAsia="仿宋" w:cs="仿宋"/>
                <w:bCs/>
                <w:szCs w:val="21"/>
              </w:rPr>
              <w:t>万州非煤安许备字〔2023〕3号，有效期限自2023年3月24日至2026年2月24日</w:t>
            </w:r>
            <w:r>
              <w:rPr>
                <w:rFonts w:ascii="仿宋" w:hAnsi="仿宋" w:eastAsia="仿宋" w:cs="仿宋"/>
                <w:bCs/>
                <w:szCs w:val="21"/>
              </w:rPr>
              <w:t>。</w:t>
            </w:r>
            <w:bookmarkEnd w:id="0"/>
          </w:p>
          <w:p>
            <w:pPr>
              <w:adjustRightInd w:val="0"/>
              <w:snapToGrid w:val="0"/>
              <w:spacing w:line="260" w:lineRule="exact"/>
              <w:ind w:firstLine="420" w:firstLineChars="200"/>
              <w:rPr>
                <w:rFonts w:hint="eastAsia" w:ascii="仿宋" w:hAnsi="仿宋" w:eastAsia="仿宋" w:cs="仿宋"/>
                <w:bCs/>
                <w:szCs w:val="21"/>
              </w:rPr>
            </w:pPr>
            <w:r>
              <w:rPr>
                <w:rFonts w:hint="eastAsia" w:ascii="仿宋" w:hAnsi="仿宋" w:eastAsia="仿宋" w:cs="仿宋"/>
                <w:bCs/>
                <w:szCs w:val="21"/>
              </w:rPr>
              <w:t>矿山企业在前期生产过程中因矿区南东侧区域的林业及土地租用问题一直未解决，故在前期作业过程中未在该区域进行开采作业。现企业将矿区范围内的林业及土地问题全部解决后，拟调整设计开采范围对矿区剩余资源进行开采，并准备根据现场实际情况调整开拓运输系统及排土场。根据《国家矿山安全监察局关于印发〈非煤矿山建设项目安全设施重大变更范围〉的通知》及《重庆市应急管理局关于〈加强金属非金属矿山安全生产行政许可工作〉的通知》，企业应当委托设计单位编制建设项目安全设施设计并需经竣工验收。</w:t>
            </w:r>
          </w:p>
          <w:p>
            <w:pPr>
              <w:pStyle w:val="3"/>
              <w:ind w:firstLine="0"/>
            </w:pPr>
            <w:r>
              <w:drawing>
                <wp:inline distT="0" distB="0" distL="114300" distR="114300">
                  <wp:extent cx="3838575" cy="274320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838575" cy="2743200"/>
                          </a:xfrm>
                          <a:prstGeom prst="rect">
                            <a:avLst/>
                          </a:prstGeom>
                          <a:noFill/>
                          <a:ln>
                            <a:noFill/>
                          </a:ln>
                        </pic:spPr>
                      </pic:pic>
                    </a:graphicData>
                  </a:graphic>
                </wp:inline>
              </w:drawing>
            </w:r>
          </w:p>
          <w:p>
            <w:pPr>
              <w:pStyle w:val="3"/>
            </w:pPr>
          </w:p>
          <w:p>
            <w:pPr>
              <w:pStyle w:val="3"/>
            </w:pPr>
          </w:p>
          <w:p>
            <w:pPr>
              <w:overflowPunct w:val="0"/>
              <w:spacing w:line="276"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vAlign w:val="center"/>
          </w:tcPr>
          <w:p>
            <w:pPr>
              <w:spacing w:line="500" w:lineRule="exact"/>
              <w:jc w:val="center"/>
              <w:rPr>
                <w:rFonts w:hint="eastAsia" w:ascii="仿宋" w:hAnsi="仿宋" w:eastAsia="仿宋"/>
                <w:color w:val="000000"/>
                <w:szCs w:val="21"/>
              </w:rPr>
            </w:pPr>
          </w:p>
        </w:tc>
        <w:tc>
          <w:tcPr>
            <w:tcW w:w="2174" w:type="dxa"/>
            <w:gridSpan w:val="2"/>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vAlign w:val="center"/>
          </w:tcPr>
          <w:p>
            <w:pPr>
              <w:pStyle w:val="4"/>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2025年4月21日</w:t>
            </w:r>
          </w:p>
        </w:tc>
        <w:tc>
          <w:tcPr>
            <w:tcW w:w="1226" w:type="dxa"/>
            <w:gridSpan w:val="2"/>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vAlign w:val="center"/>
          </w:tcPr>
          <w:p>
            <w:pPr>
              <w:spacing w:line="500" w:lineRule="exact"/>
              <w:jc w:val="center"/>
              <w:rPr>
                <w:rFonts w:hint="eastAsia" w:ascii="仿宋" w:hAnsi="仿宋" w:eastAsia="仿宋"/>
                <w:b/>
                <w:color w:val="000000"/>
                <w:szCs w:val="21"/>
              </w:rPr>
            </w:pPr>
          </w:p>
        </w:tc>
        <w:tc>
          <w:tcPr>
            <w:tcW w:w="2174" w:type="dxa"/>
            <w:gridSpan w:val="2"/>
            <w:vAlign w:val="center"/>
          </w:tcPr>
          <w:p>
            <w:pPr>
              <w:spacing w:line="300" w:lineRule="exact"/>
              <w:jc w:val="center"/>
              <w:rPr>
                <w:rFonts w:hint="eastAsia" w:ascii="仿宋" w:hAnsi="仿宋" w:eastAsia="仿宋"/>
                <w:color w:val="000000"/>
                <w:szCs w:val="21"/>
              </w:rPr>
            </w:pPr>
            <w:r>
              <w:rPr>
                <w:rFonts w:hint="eastAsia" w:ascii="仿宋" w:hAnsi="仿宋" w:eastAsia="仿宋"/>
                <w:color w:val="000000"/>
                <w:szCs w:val="21"/>
              </w:rPr>
              <w:t>欧建</w:t>
            </w:r>
          </w:p>
        </w:tc>
        <w:tc>
          <w:tcPr>
            <w:tcW w:w="2034" w:type="dxa"/>
            <w:gridSpan w:val="3"/>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2025年4月21日</w:t>
            </w:r>
          </w:p>
        </w:tc>
        <w:tc>
          <w:tcPr>
            <w:tcW w:w="1226" w:type="dxa"/>
            <w:gridSpan w:val="2"/>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2" w:name="_GoBack"/>
      <w:bookmarkEnd w:id="2"/>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550568"/>
    <w:rsid w:val="115505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Plain Text"/>
    <w:basedOn w:val="1"/>
    <w:qFormat/>
    <w:uiPriority w:val="0"/>
    <w:rPr>
      <w:rFonts w:hAnsi="Courier New" w:cs="Courier New"/>
      <w:sz w:val="21"/>
      <w:szCs w:val="21"/>
    </w:rPr>
  </w:style>
  <w:style w:type="paragraph" w:styleId="3">
    <w:name w:val="Normal Indent"/>
    <w:basedOn w:val="1"/>
    <w:qFormat/>
    <w:uiPriority w:val="0"/>
    <w:pPr>
      <w:spacing w:line="240" w:lineRule="atLeast"/>
      <w:ind w:firstLine="420"/>
    </w:pPr>
    <w:rPr>
      <w:rFonts w:ascii="宋体"/>
    </w:rPr>
  </w:style>
  <w:style w:type="paragraph" w:styleId="4">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2025-09-19T06:13:00Z</dcterms:created>
  <dc:creator>雷楠</dc:creator>
  <cp:lastModifiedBy>雷楠</cp:lastModifiedBy>
  <dcterms:modified xsi:type="dcterms:W3CDTF">2025-09-19T06:14:17Z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