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29322"/>
      <w:bookmarkStart w:id="1" w:name="_Toc24090"/>
      <w:bookmarkStart w:id="2" w:name="_Toc16094"/>
      <w:bookmarkStart w:id="3" w:name="_Toc27661"/>
      <w:bookmarkStart w:id="4" w:name="_Toc16246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316"/>
        <w:gridCol w:w="633"/>
        <w:gridCol w:w="311"/>
        <w:gridCol w:w="1287"/>
        <w:gridCol w:w="163"/>
        <w:gridCol w:w="429"/>
        <w:gridCol w:w="290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  <w:t>重庆万盛煤化有限责任公司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万化低甲放空尾气VOC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治理项目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设立安全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验收评价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both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王梅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林先洪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2022.12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王  梅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S011053000110191001147/019244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黄安勇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S011053000110192003183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035592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S011053000110192003004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肖泽钧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S011044000110193002230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036057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S011053000110192002987/035615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李  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1800000000201223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020783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高胡容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S011053000110192002940/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037978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 xml:space="preserve">    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1700000000201153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019235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林先洪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冶金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S011011000110193000064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036140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1800000000100099/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019234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  <w:t>冯  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S011053000110201000802/019237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蔡治勇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0800000000102949/003832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240" w:lineRule="auto"/>
              <w:jc w:val="left"/>
              <w:textAlignment w:val="auto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  <w:t>在原低温甲醇洗装置内部预留空地上增设CO2解吸塔、原料气/CO2气换热器、含硫甲醇增压泵，在原两台低温CO2槽车充装位旁的预留位置增设一套低温CO2槽车充装位。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2"/>
              <w:ind w:left="0" w:leftChars="0" w:firstLine="0" w:firstLineChars="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5233035" cy="1950085"/>
                  <wp:effectExtent l="0" t="0" r="5715" b="1206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3035" cy="1950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王梅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2022.11.3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对项目情况周边环境、法律法规与项目总平面布置进行勘察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林先洪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2022.11.3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项目资料收集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/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7BE01E5"/>
    <w:rsid w:val="17BE0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 w:afterLines="0" w:afterAutospacing="0"/>
      <w:ind w:left="420" w:leftChars="200"/>
    </w:pPr>
  </w:style>
  <w:style w:type="paragraph" w:styleId="3">
    <w:name w:val="toc 4"/>
    <w:basedOn w:val="1"/>
    <w:next w:val="1"/>
    <w:qFormat/>
    <w:uiPriority w:val="0"/>
    <w:pPr>
      <w:ind w:left="840"/>
      <w:jc w:val="left"/>
    </w:pPr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2022-12-12T08:13:00Z</dcterms:created>
  <dc:creator>雷楠</dc:creator>
  <cp:lastModifiedBy>雷楠</cp:lastModifiedBy>
  <dcterms:modified xsi:type="dcterms:W3CDTF">2022-12-12T08:13:15Z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1EF4427C62E6452A858624798B4A65C6</vt:lpwstr>
  </property>
</Properties>
</file>